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B353A" w14:textId="309D58D2" w:rsidR="00E922B5" w:rsidRDefault="00E922B5" w:rsidP="00E922B5">
      <w:pPr>
        <w:jc w:val="center"/>
      </w:pPr>
      <w:r>
        <w:t xml:space="preserve">ETYKA ZAWODU PIELĘGNIARKI </w:t>
      </w:r>
    </w:p>
    <w:p w14:paraId="1424C820" w14:textId="77777777" w:rsidR="00E922B5" w:rsidRDefault="00E922B5" w:rsidP="00E922B5">
      <w:pPr>
        <w:jc w:val="center"/>
      </w:pPr>
    </w:p>
    <w:p w14:paraId="3CDF9ED0" w14:textId="6772430B" w:rsidR="00E922B5" w:rsidRDefault="00E922B5" w:rsidP="00E922B5">
      <w:r>
        <w:t>Wykład 1 – 9.10.25</w:t>
      </w:r>
    </w:p>
    <w:p w14:paraId="750E2297" w14:textId="3A51F00B" w:rsidR="00131E33" w:rsidRDefault="00131E33" w:rsidP="00E922B5">
      <w:r>
        <w:t xml:space="preserve">Egzamin – wiedza z prezentacji, która miała być jakoś nam udostępniona </w:t>
      </w:r>
    </w:p>
    <w:p w14:paraId="2AA61CD1" w14:textId="77777777" w:rsidR="00E922B5" w:rsidRDefault="00E922B5" w:rsidP="00E922B5"/>
    <w:p w14:paraId="0951472B" w14:textId="67CAE4F7" w:rsidR="00E922B5" w:rsidRDefault="00131E33" w:rsidP="00131E33">
      <w:pPr>
        <w:pStyle w:val="Akapitzlist"/>
        <w:numPr>
          <w:ilvl w:val="0"/>
          <w:numId w:val="1"/>
        </w:numPr>
      </w:pPr>
      <w:r>
        <w:t>Wykłady – problematyka</w:t>
      </w:r>
    </w:p>
    <w:p w14:paraId="04086F54" w14:textId="119FEB37" w:rsidR="00131E33" w:rsidRDefault="00131E33" w:rsidP="00131E33">
      <w:pPr>
        <w:pStyle w:val="Akapitzlist"/>
        <w:numPr>
          <w:ilvl w:val="1"/>
          <w:numId w:val="1"/>
        </w:numPr>
      </w:pPr>
      <w:r>
        <w:t>Kształtowanie wartości, konflikty wartości</w:t>
      </w:r>
    </w:p>
    <w:p w14:paraId="4C03EDDA" w14:textId="36D656F7" w:rsidR="00131E33" w:rsidRDefault="00131E33" w:rsidP="00131E33">
      <w:pPr>
        <w:pStyle w:val="Akapitzlist"/>
        <w:numPr>
          <w:ilvl w:val="1"/>
          <w:numId w:val="1"/>
        </w:numPr>
      </w:pPr>
      <w:r>
        <w:t>Etyka jako teoria moralności, jej przedmiot i podstawowe pojęcia; zasady etyki</w:t>
      </w:r>
    </w:p>
    <w:p w14:paraId="574313D1" w14:textId="574DAD1D" w:rsidR="00131E33" w:rsidRDefault="00131E33" w:rsidP="00131E33">
      <w:pPr>
        <w:pStyle w:val="Akapitzlist"/>
        <w:numPr>
          <w:ilvl w:val="1"/>
          <w:numId w:val="1"/>
        </w:numPr>
      </w:pPr>
      <w:r>
        <w:t>Koncepcje etyczne w praktyce pielęgniarskiej</w:t>
      </w:r>
    </w:p>
    <w:p w14:paraId="7808B630" w14:textId="23EB2C60" w:rsidR="00131E33" w:rsidRDefault="00131E33" w:rsidP="00131E33">
      <w:pPr>
        <w:pStyle w:val="Akapitzlist"/>
        <w:numPr>
          <w:ilvl w:val="1"/>
          <w:numId w:val="1"/>
        </w:numPr>
      </w:pPr>
      <w:r>
        <w:t>Adwokatura</w:t>
      </w:r>
    </w:p>
    <w:p w14:paraId="272D4907" w14:textId="4FB9EC63" w:rsidR="00131E33" w:rsidRDefault="00131E33" w:rsidP="00131E33">
      <w:pPr>
        <w:pStyle w:val="Akapitzlist"/>
        <w:numPr>
          <w:ilvl w:val="1"/>
          <w:numId w:val="1"/>
        </w:numPr>
      </w:pPr>
      <w:r>
        <w:t>Odpowiedzialność i rozliczenie</w:t>
      </w:r>
    </w:p>
    <w:p w14:paraId="7FE93553" w14:textId="12CC16B7" w:rsidR="00131E33" w:rsidRDefault="00131E33" w:rsidP="00131E33">
      <w:pPr>
        <w:pStyle w:val="Akapitzlist"/>
        <w:numPr>
          <w:ilvl w:val="1"/>
          <w:numId w:val="1"/>
        </w:numPr>
      </w:pPr>
      <w:r>
        <w:t>Troskliwość</w:t>
      </w:r>
    </w:p>
    <w:p w14:paraId="734D7A84" w14:textId="689EFD25" w:rsidR="00131E33" w:rsidRDefault="00131E33" w:rsidP="00131E33">
      <w:pPr>
        <w:pStyle w:val="Akapitzlist"/>
        <w:numPr>
          <w:ilvl w:val="1"/>
          <w:numId w:val="1"/>
        </w:numPr>
      </w:pPr>
      <w:r>
        <w:t>Standardy zachowań etycznych</w:t>
      </w:r>
    </w:p>
    <w:p w14:paraId="74DD8C44" w14:textId="3098A4AB" w:rsidR="00131E33" w:rsidRDefault="00131E33" w:rsidP="00131E33">
      <w:pPr>
        <w:pStyle w:val="Akapitzlist"/>
        <w:numPr>
          <w:ilvl w:val="1"/>
          <w:numId w:val="1"/>
        </w:numPr>
      </w:pPr>
      <w:r>
        <w:t>Kodeks etyki zawodowej pielęgniarek i położnych</w:t>
      </w:r>
    </w:p>
    <w:p w14:paraId="601A6A0D" w14:textId="012E1278" w:rsidR="00131E33" w:rsidRDefault="00131E33" w:rsidP="00131E33">
      <w:pPr>
        <w:pStyle w:val="Akapitzlist"/>
        <w:numPr>
          <w:ilvl w:val="1"/>
          <w:numId w:val="1"/>
        </w:numPr>
      </w:pPr>
      <w:r>
        <w:t>Analiza sytuacji moralnej i procesu podejmowania decyzji moralnej, wartości, normy i oceny moralne</w:t>
      </w:r>
    </w:p>
    <w:p w14:paraId="605D87F4" w14:textId="782D1902" w:rsidR="00131E33" w:rsidRDefault="00131E33" w:rsidP="00131E33">
      <w:pPr>
        <w:pStyle w:val="Akapitzlist"/>
        <w:numPr>
          <w:ilvl w:val="1"/>
          <w:numId w:val="1"/>
        </w:numPr>
      </w:pPr>
      <w:r>
        <w:t>Odpowiedzialność etyczna pielęgniarki</w:t>
      </w:r>
    </w:p>
    <w:p w14:paraId="36C0327C" w14:textId="28610693" w:rsidR="00131E33" w:rsidRDefault="00131E33" w:rsidP="00131E33">
      <w:pPr>
        <w:pStyle w:val="Akapitzlist"/>
        <w:numPr>
          <w:ilvl w:val="1"/>
          <w:numId w:val="1"/>
        </w:numPr>
      </w:pPr>
      <w:r>
        <w:t>Promowanie zdrowia</w:t>
      </w:r>
    </w:p>
    <w:p w14:paraId="6E7F6BD9" w14:textId="1DB1B47D" w:rsidR="00131E33" w:rsidRDefault="00131E33" w:rsidP="00131E33">
      <w:pPr>
        <w:pStyle w:val="Akapitzlist"/>
        <w:numPr>
          <w:ilvl w:val="1"/>
          <w:numId w:val="1"/>
        </w:numPr>
      </w:pPr>
      <w:r>
        <w:t xml:space="preserve">Zapobieganie chorobom </w:t>
      </w:r>
    </w:p>
    <w:p w14:paraId="704F2981" w14:textId="022D8A9E" w:rsidR="00131E33" w:rsidRDefault="00131E33" w:rsidP="00131E33">
      <w:pPr>
        <w:pStyle w:val="Akapitzlist"/>
        <w:numPr>
          <w:ilvl w:val="1"/>
          <w:numId w:val="1"/>
        </w:numPr>
      </w:pPr>
      <w:r>
        <w:t>Przywracanie zdrowia</w:t>
      </w:r>
    </w:p>
    <w:p w14:paraId="2800C049" w14:textId="5CA9D2A4" w:rsidR="00131E33" w:rsidRDefault="00131E33" w:rsidP="00131E33">
      <w:pPr>
        <w:pStyle w:val="Akapitzlist"/>
        <w:numPr>
          <w:ilvl w:val="1"/>
          <w:numId w:val="1"/>
        </w:numPr>
      </w:pPr>
      <w:r>
        <w:t xml:space="preserve">Łagodzenie cierpienia </w:t>
      </w:r>
    </w:p>
    <w:p w14:paraId="568B06CC" w14:textId="66D90464" w:rsidR="00131E33" w:rsidRDefault="00131E33" w:rsidP="00131E33">
      <w:pPr>
        <w:pStyle w:val="Akapitzlist"/>
        <w:numPr>
          <w:ilvl w:val="1"/>
          <w:numId w:val="1"/>
        </w:numPr>
      </w:pPr>
      <w:r>
        <w:t xml:space="preserve">Zastosowanie etyki w praktyce pielęgniarskiej </w:t>
      </w:r>
    </w:p>
    <w:p w14:paraId="6F4EF0B9" w14:textId="77777777" w:rsidR="00131E33" w:rsidRDefault="00131E33" w:rsidP="00131E33"/>
    <w:p w14:paraId="47F62437" w14:textId="478A01F0" w:rsidR="00131E33" w:rsidRDefault="00131E33" w:rsidP="00131E33">
      <w:pPr>
        <w:pStyle w:val="Akapitzlist"/>
        <w:numPr>
          <w:ilvl w:val="0"/>
          <w:numId w:val="2"/>
        </w:numPr>
      </w:pPr>
      <w:r>
        <w:t xml:space="preserve">Prawdomówność – rozumiana jako zobowiązanie do mówienia prawdy i nie kłamania ani oszukiwania innych. Pielęgniarki są zobowiązane do mówienia prawdy, ponieważ inaczej straciłyby zaufanie pacjenta a to znacznie utrudniłoby współpracę w procesie leczenia </w:t>
      </w:r>
    </w:p>
    <w:p w14:paraId="09E17D75" w14:textId="2254B7CC" w:rsidR="00131E33" w:rsidRDefault="00131E33" w:rsidP="00131E33">
      <w:pPr>
        <w:pStyle w:val="Akapitzlist"/>
        <w:numPr>
          <w:ilvl w:val="1"/>
          <w:numId w:val="2"/>
        </w:numPr>
      </w:pPr>
      <w:r>
        <w:t xml:space="preserve">Lecz: w sytuacjach wyjątkowych, jeżeli rokowanie jest niepomyślne dla pacjenta, lekarz może ograniczyć informację o stanie zdrowia i o rokowaniu, jeżeli wg oceny lekarza przemawia za tym dobro pacjenta. W takich przypadkach lekarz informuje przedstawiciela ustawowego pacjenta lub osobę upoważnioną przez pacjenta. Na żądanie pacjenta lekarz ma jednak obowiązek udzielić mu żądanej informacji </w:t>
      </w:r>
    </w:p>
    <w:p w14:paraId="41429399" w14:textId="5FBB1447" w:rsidR="00C15F5F" w:rsidRDefault="00131E33" w:rsidP="00C15F5F">
      <w:pPr>
        <w:pStyle w:val="Akapitzlist"/>
        <w:numPr>
          <w:ilvl w:val="0"/>
          <w:numId w:val="2"/>
        </w:numPr>
      </w:pPr>
      <w:r>
        <w:t xml:space="preserve">Wierność – rozumiana jako obowiązek dotrzymywania zobowiązań. Łamanie obietnicy i zachowanie tajemnicy bywa usprawiedliwiane dobrem osoby trzeciej. Np. by poinformować odpowiednie władze o znęcaniu się nad dzieckiem lub o </w:t>
      </w:r>
      <w:r>
        <w:lastRenderedPageBreak/>
        <w:t>wynikach badań laboratoryjnych świadczących o poważnej  chorobie zakaźnej. Niektórzy uważają, że wierność na zasadzie tajemnicy jest ważniejsza niż dbanie o czyjeś dobro</w:t>
      </w:r>
    </w:p>
    <w:p w14:paraId="2668CCEB" w14:textId="7C4B2275" w:rsidR="00C15F5F" w:rsidRDefault="00C15F5F" w:rsidP="00C15F5F">
      <w:pPr>
        <w:pStyle w:val="Akapitzlist"/>
        <w:numPr>
          <w:ilvl w:val="0"/>
          <w:numId w:val="2"/>
        </w:numPr>
      </w:pPr>
      <w:r>
        <w:t xml:space="preserve">Adwokatura </w:t>
      </w:r>
    </w:p>
    <w:p w14:paraId="6AEE86D8" w14:textId="64E672C7" w:rsidR="00C15F5F" w:rsidRDefault="00C15F5F" w:rsidP="00C15F5F">
      <w:pPr>
        <w:pStyle w:val="Akapitzlist"/>
        <w:numPr>
          <w:ilvl w:val="1"/>
          <w:numId w:val="2"/>
        </w:numPr>
      </w:pPr>
      <w:r>
        <w:t>Model ochrony praw – prezentuje pielęgniarkę jako obrońcę praw pacjenta w systemie opieki zdrowotnej, informuje  ona pacjenta o jego prawach, relacjonuje jego naruszenia i zapobiega dalszemu ich łamaniu</w:t>
      </w:r>
    </w:p>
    <w:p w14:paraId="38595D59" w14:textId="13668973" w:rsidR="00C15F5F" w:rsidRDefault="00C15F5F" w:rsidP="00C15F5F">
      <w:pPr>
        <w:pStyle w:val="Akapitzlist"/>
        <w:numPr>
          <w:ilvl w:val="1"/>
          <w:numId w:val="2"/>
        </w:numPr>
      </w:pPr>
      <w:r>
        <w:t>Model decyzji oparty na wartościach – pielęgniarka pomaga pacjentowi wypowiadać się na temat własnych potrzeb i wyborów związanych z jego wartościami i stylem życia. Nie narzuca decyzji lecz podejmuje starania by on sam rozważył dodatnie i ujemne strony różnych decyzji znaczących dla jego zdrowia w oparciu o jego wierzenia i wartości</w:t>
      </w:r>
    </w:p>
    <w:p w14:paraId="0CCEEB03" w14:textId="6027B487" w:rsidR="00C15F5F" w:rsidRDefault="00C15F5F" w:rsidP="00C15F5F">
      <w:pPr>
        <w:pStyle w:val="Akapitzlist"/>
        <w:numPr>
          <w:ilvl w:val="1"/>
          <w:numId w:val="2"/>
        </w:numPr>
      </w:pPr>
      <w:r>
        <w:t>Model szacunku dla osoby – pielęgniarka  po pierwsze bierze pod uwagę podstawowe wartości pacjenta i podejmuje działania w celu ochrony jego godności i prywatności a także zapewnieniu mu możliwości dokonywania samodzielnych wyborów. Jeśli nie jest zdolny do podejmowania decyzji broni jego wartości które on uznawał przed chorobą lub jaki określają członkowie jego rodziny lub inne upoważnione osoby. Jeśli nikt nie jest w stanie określić bierze na siebie odpowiedzialność i broni jego interesów w sposób najlepszy dla siebie</w:t>
      </w:r>
    </w:p>
    <w:p w14:paraId="7A6665D5" w14:textId="2378DCDD" w:rsidR="00C15F5F" w:rsidRDefault="00C15F5F" w:rsidP="00C15F5F">
      <w:pPr>
        <w:pStyle w:val="Akapitzlist"/>
        <w:numPr>
          <w:ilvl w:val="0"/>
          <w:numId w:val="2"/>
        </w:numPr>
      </w:pPr>
      <w:r>
        <w:t xml:space="preserve">Odpowiedzialność i rozliczenie – pielęgniarka ponosi odpowiedzialność przed pacjentem, społeczeństwem, pracodawcą za działania podjęte i niepodjęte zgodnie z przyjętymi normami prawnymi, moralnymi i standardami praktyki. Rozliczalność rozumiana jest jako opisywanie i wyjaśnianie jak przebiegały działania pielęgniarki. Standardy zawodowe są traktowane jako punkt odniesienia i narzędzie pomiaru praktyki. </w:t>
      </w:r>
    </w:p>
    <w:p w14:paraId="00D7EB7F" w14:textId="0C82D2DD" w:rsidR="00C15F5F" w:rsidRDefault="00C15F5F" w:rsidP="00C15F5F">
      <w:pPr>
        <w:pStyle w:val="Akapitzlist"/>
        <w:numPr>
          <w:ilvl w:val="0"/>
          <w:numId w:val="2"/>
        </w:numPr>
      </w:pPr>
      <w:r>
        <w:t>Troskliwość – bezpieczeństwo jest pierwszym i najważniejszym powodem istnienia życia społecznego. Tak jak to jest u wielu gatunków ssaków, życie ludzkie dzieli się na te okresy, w których jesteśmy uzależnieni od innych (gdy jesteśmy bardzo młodzi, starzy albo chorzy) oraz te, kiedy zajmujemy się innymi (opiekujemy się dziećmi, osobami starymi lub chorymi)</w:t>
      </w:r>
    </w:p>
    <w:p w14:paraId="5CBE4336" w14:textId="111C2EB8" w:rsidR="00C15F5F" w:rsidRDefault="00C93DF9" w:rsidP="00C15F5F">
      <w:pPr>
        <w:pStyle w:val="Akapitzlist"/>
        <w:numPr>
          <w:ilvl w:val="1"/>
          <w:numId w:val="2"/>
        </w:numPr>
      </w:pPr>
      <w:r>
        <w:t>Gdy Buszmeni podróżują, idą gęsiego, przy czym prowadzi jeden z mężczyzn, wypatrując śladów drapieżników i innych zagrożeń. Kobiety i dzieci zajmują bezpieczniejsze miejsce i to przypomina zachowania szympansów, które w sytuacji niebezpieczeństwa – np. wtedy, gdy przekraczają ścieżkę uczęszczaną przez ludzi – wysuwają na przód i na tył samce, podczas gdy samice i młode pozostają w środku. Czasem samiec alfa pełni straż przy drodze do czasu aż wszyscy przejdą na drugą stronę</w:t>
      </w:r>
    </w:p>
    <w:p w14:paraId="23EABF45" w14:textId="162F2623" w:rsidR="00C93DF9" w:rsidRDefault="00C93DF9" w:rsidP="00C93DF9">
      <w:pPr>
        <w:pStyle w:val="Akapitzlist"/>
        <w:numPr>
          <w:ilvl w:val="2"/>
          <w:numId w:val="2"/>
        </w:numPr>
      </w:pPr>
      <w:r>
        <w:t xml:space="preserve">Doświadczenie czyjejś troskliwości jest często wstępem lub poprzedza troszczenie się o innych </w:t>
      </w:r>
    </w:p>
    <w:p w14:paraId="322FC017" w14:textId="63302A7A" w:rsidR="00C93DF9" w:rsidRDefault="00C93DF9" w:rsidP="00C93DF9">
      <w:pPr>
        <w:pStyle w:val="Akapitzlist"/>
        <w:numPr>
          <w:ilvl w:val="2"/>
          <w:numId w:val="2"/>
        </w:numPr>
      </w:pPr>
      <w:r>
        <w:lastRenderedPageBreak/>
        <w:t xml:space="preserve">Realizuje ludzką potrzebę bycia chronionym lub potrzebę bycia kochanym </w:t>
      </w:r>
    </w:p>
    <w:p w14:paraId="5D3DE82A" w14:textId="5850A7CB" w:rsidR="00C93DF9" w:rsidRDefault="00C93DF9" w:rsidP="00C93DF9">
      <w:pPr>
        <w:pStyle w:val="Akapitzlist"/>
        <w:numPr>
          <w:ilvl w:val="1"/>
          <w:numId w:val="2"/>
        </w:numPr>
      </w:pPr>
      <w:r>
        <w:t xml:space="preserve">Do jakiej granicy można rozszerzyć opiekę nad pacjentem? Idealna troskliwość mogłaby doprowadzić pielęgniarkę do fizycznego i emocjonalnego wyczerpania. Zbyt dużo troskliwości może wywołać efekt „wypalenia” i stres pielęgniarki, który może być ostatecznie szkodliwy dla obu stron </w:t>
      </w:r>
    </w:p>
    <w:p w14:paraId="663DE80B" w14:textId="7A9C88A1" w:rsidR="00C93DF9" w:rsidRDefault="00C93DF9" w:rsidP="00C93DF9">
      <w:pPr>
        <w:pStyle w:val="Akapitzlist"/>
        <w:numPr>
          <w:ilvl w:val="1"/>
          <w:numId w:val="2"/>
        </w:numPr>
      </w:pPr>
      <w:r>
        <w:t xml:space="preserve">Frans de </w:t>
      </w:r>
      <w:proofErr w:type="spellStart"/>
      <w:r>
        <w:t>Waal</w:t>
      </w:r>
      <w:proofErr w:type="spellEnd"/>
      <w:r>
        <w:t xml:space="preserve"> – wiek empatii </w:t>
      </w:r>
    </w:p>
    <w:p w14:paraId="45DE350D" w14:textId="651F8B5A" w:rsidR="00C93DF9" w:rsidRDefault="00C93DF9" w:rsidP="00C93DF9"/>
    <w:p w14:paraId="7B0B29E0" w14:textId="151E0D0D" w:rsidR="00303158" w:rsidRDefault="005D363C" w:rsidP="007F4729">
      <w:r>
        <w:t xml:space="preserve">Analiza sytuacji moralnej i procesu podejmowania decyzji moralnej, wartości, normy i oceny moralne </w:t>
      </w:r>
    </w:p>
    <w:p w14:paraId="16FEEDE1" w14:textId="77777777" w:rsidR="005D363C" w:rsidRDefault="005D363C" w:rsidP="007F4729"/>
    <w:p w14:paraId="74F7E385" w14:textId="453B9FFA" w:rsidR="005D363C" w:rsidRDefault="005D363C" w:rsidP="005D363C">
      <w:pPr>
        <w:pStyle w:val="Akapitzlist"/>
        <w:numPr>
          <w:ilvl w:val="0"/>
          <w:numId w:val="4"/>
        </w:numPr>
      </w:pPr>
      <w:r>
        <w:t>Odpowiedzialność za naruszenie zasad etyki zawodowej pielęgniarki</w:t>
      </w:r>
    </w:p>
    <w:p w14:paraId="73388651" w14:textId="2266BE24" w:rsidR="005D363C" w:rsidRDefault="005D363C" w:rsidP="005D363C">
      <w:pPr>
        <w:pStyle w:val="Akapitzlist"/>
        <w:numPr>
          <w:ilvl w:val="1"/>
          <w:numId w:val="4"/>
        </w:numPr>
      </w:pPr>
      <w:r>
        <w:t>Członkowie samorządu podlegają odpowiedzialności zawodowej za naruszenie zasad etyki zawodowej lub przepisów dotyczących wykonywania zawodu, zwane dalej „przewinieniem zawodowym”</w:t>
      </w:r>
    </w:p>
    <w:p w14:paraId="437D2DFC" w14:textId="2EF2233F" w:rsidR="005D363C" w:rsidRDefault="005D363C" w:rsidP="005D363C">
      <w:pPr>
        <w:pStyle w:val="Akapitzlist"/>
        <w:numPr>
          <w:ilvl w:val="1"/>
          <w:numId w:val="4"/>
        </w:numPr>
      </w:pPr>
      <w:r>
        <w:t xml:space="preserve">W przypadku gdy zebrane w postępowaniu wyjaśniającym lub przeprowadzone przed sądem pielęgniarek i położnych dowody, wskazują z dużym prawdopodobieństwem, że osoba obwiniona popełniła przewinienie zawodowe, a rodzaj tego przewinienia wskazuje, że wykonywanie przez osobę obwinioną zawodu zagraża bezpieczeństwu pacjentów lub grozi popełnieniem kolejnego przewinienia zawodowego, sąd pielęgniarek i położnych może wydać postanowienie o tymczasowym zawieszeniu prawa do wykonywania zawodu przez osobę obwinioną na okres nieprzekraczający 12 miesięcy </w:t>
      </w:r>
    </w:p>
    <w:p w14:paraId="7ADF3485" w14:textId="1C1B4F21" w:rsidR="005D363C" w:rsidRDefault="005D363C" w:rsidP="005D363C">
      <w:pPr>
        <w:pStyle w:val="Akapitzlist"/>
        <w:numPr>
          <w:ilvl w:val="1"/>
          <w:numId w:val="4"/>
        </w:numPr>
      </w:pPr>
      <w:r>
        <w:t>Sąd pielęgniarek i położnych może orzec następujące kary:</w:t>
      </w:r>
    </w:p>
    <w:p w14:paraId="3DC91C5F" w14:textId="2157127A" w:rsidR="005D363C" w:rsidRDefault="005D363C" w:rsidP="005D363C">
      <w:pPr>
        <w:pStyle w:val="Akapitzlist"/>
        <w:numPr>
          <w:ilvl w:val="2"/>
          <w:numId w:val="4"/>
        </w:numPr>
      </w:pPr>
      <w:r>
        <w:t>Upomnienie</w:t>
      </w:r>
    </w:p>
    <w:p w14:paraId="579B972B" w14:textId="063EF242" w:rsidR="005D363C" w:rsidRDefault="005D363C" w:rsidP="005D363C">
      <w:pPr>
        <w:pStyle w:val="Akapitzlist"/>
        <w:numPr>
          <w:ilvl w:val="2"/>
          <w:numId w:val="4"/>
        </w:numPr>
      </w:pPr>
      <w:r>
        <w:t>Naganę</w:t>
      </w:r>
    </w:p>
    <w:p w14:paraId="24607F76" w14:textId="43F2EC5A" w:rsidR="005D363C" w:rsidRDefault="005D363C" w:rsidP="005D363C">
      <w:pPr>
        <w:pStyle w:val="Akapitzlist"/>
        <w:numPr>
          <w:ilvl w:val="2"/>
          <w:numId w:val="4"/>
        </w:numPr>
      </w:pPr>
      <w:r>
        <w:t xml:space="preserve">Karę pieniężną </w:t>
      </w:r>
    </w:p>
    <w:p w14:paraId="21D86A2B" w14:textId="146CE41E" w:rsidR="005D363C" w:rsidRDefault="005D363C" w:rsidP="005D363C">
      <w:pPr>
        <w:pStyle w:val="Akapitzlist"/>
        <w:numPr>
          <w:ilvl w:val="2"/>
          <w:numId w:val="4"/>
        </w:numPr>
      </w:pPr>
      <w:r>
        <w:t>Zakaz pełnienia funkcji kierowniczych w podmiotach leczniczych na okres od 1 roku do 5 lat</w:t>
      </w:r>
    </w:p>
    <w:p w14:paraId="0AAA1F3F" w14:textId="7C7E6C89" w:rsidR="005D363C" w:rsidRDefault="005D363C" w:rsidP="005D363C">
      <w:pPr>
        <w:pStyle w:val="Akapitzlist"/>
        <w:numPr>
          <w:ilvl w:val="2"/>
          <w:numId w:val="4"/>
        </w:numPr>
      </w:pPr>
      <w:r>
        <w:t>Zakaz pełnienia funkcji z wyboru w organach samorządu na okres od 1 roku do 5 lat</w:t>
      </w:r>
    </w:p>
    <w:p w14:paraId="18B9A12C" w14:textId="2693BFBA" w:rsidR="005D363C" w:rsidRDefault="005D363C" w:rsidP="005D363C">
      <w:pPr>
        <w:pStyle w:val="Akapitzlist"/>
        <w:numPr>
          <w:ilvl w:val="2"/>
          <w:numId w:val="4"/>
        </w:numPr>
      </w:pPr>
      <w:r>
        <w:t>Ograniczenie zakresu czynności w wykonywaniu zawody na okres od 6 miesięcy do 2 lat</w:t>
      </w:r>
    </w:p>
    <w:p w14:paraId="624DC63B" w14:textId="359BB43D" w:rsidR="005D363C" w:rsidRDefault="005D363C" w:rsidP="005D363C">
      <w:pPr>
        <w:pStyle w:val="Akapitzlist"/>
        <w:numPr>
          <w:ilvl w:val="2"/>
          <w:numId w:val="4"/>
        </w:numPr>
      </w:pPr>
      <w:r>
        <w:t>Zawieszenie prawa wykonywania zawodu na okres od 1 roku do  lat</w:t>
      </w:r>
    </w:p>
    <w:p w14:paraId="0A8F6672" w14:textId="424BF95E" w:rsidR="005D363C" w:rsidRDefault="005D363C" w:rsidP="005D363C">
      <w:pPr>
        <w:pStyle w:val="Akapitzlist"/>
        <w:numPr>
          <w:ilvl w:val="2"/>
          <w:numId w:val="4"/>
        </w:numPr>
      </w:pPr>
      <w:r>
        <w:t xml:space="preserve">Pozbawienie prawa wykonywania zawodu </w:t>
      </w:r>
    </w:p>
    <w:p w14:paraId="5CFCE615" w14:textId="09B2B5D1" w:rsidR="00B103DE" w:rsidRDefault="00B103DE" w:rsidP="00B103DE">
      <w:pPr>
        <w:pStyle w:val="Akapitzlist"/>
        <w:numPr>
          <w:ilvl w:val="1"/>
          <w:numId w:val="4"/>
        </w:numPr>
      </w:pPr>
      <w:r>
        <w:t xml:space="preserve">karę pieniężną orzeka się w wysokości od 1000 zł do 10 000 zł na cel społeczny związany z ochroną zdrowia </w:t>
      </w:r>
    </w:p>
    <w:p w14:paraId="1AD1CEB4" w14:textId="1DD55C25" w:rsidR="00B103DE" w:rsidRDefault="00B103DE" w:rsidP="00B103DE">
      <w:pPr>
        <w:pStyle w:val="Akapitzlist"/>
        <w:numPr>
          <w:ilvl w:val="1"/>
          <w:numId w:val="4"/>
        </w:numPr>
      </w:pPr>
      <w:r>
        <w:lastRenderedPageBreak/>
        <w:t>karę pieniężną orzeka się samoistnie lub obok kar wymienionych w poprzednim slajdzie pkt 4 do 7</w:t>
      </w:r>
    </w:p>
    <w:p w14:paraId="3D0838F0" w14:textId="5CE4F2E8" w:rsidR="00B103DE" w:rsidRDefault="00B103DE" w:rsidP="00B103DE">
      <w:pPr>
        <w:pStyle w:val="Akapitzlist"/>
        <w:numPr>
          <w:ilvl w:val="1"/>
          <w:numId w:val="4"/>
        </w:numPr>
      </w:pPr>
      <w:r>
        <w:t xml:space="preserve">orzekając karę ograniczenia zakresu czynności w wykonywaniu zawodu, sąd pielęgniarek i położnych określa szczegółowo czynności, których pielęgniarka lub położna nie mogą wykonywać </w:t>
      </w:r>
    </w:p>
    <w:p w14:paraId="15207231" w14:textId="21E4C8CD" w:rsidR="00B103DE" w:rsidRDefault="00B103DE" w:rsidP="00B103DE">
      <w:pPr>
        <w:pStyle w:val="Akapitzlist"/>
        <w:numPr>
          <w:ilvl w:val="1"/>
          <w:numId w:val="4"/>
        </w:numPr>
      </w:pPr>
      <w:r>
        <w:t xml:space="preserve">zawieszenie prawa wykonywania zawodu orzeka się w miesiącach i latach </w:t>
      </w:r>
    </w:p>
    <w:p w14:paraId="2955B51D" w14:textId="58E70FFC" w:rsidR="00B103DE" w:rsidRDefault="00B103DE" w:rsidP="00B103DE">
      <w:pPr>
        <w:pStyle w:val="Akapitzlist"/>
        <w:numPr>
          <w:ilvl w:val="0"/>
          <w:numId w:val="4"/>
        </w:numPr>
      </w:pPr>
      <w:r>
        <w:t>Czym jest dylemat etyczny?</w:t>
      </w:r>
    </w:p>
    <w:p w14:paraId="2BD265D0" w14:textId="77777777" w:rsidR="00B103DE" w:rsidRDefault="00B103DE" w:rsidP="00B103DE">
      <w:pPr>
        <w:pStyle w:val="Akapitzlist"/>
        <w:numPr>
          <w:ilvl w:val="1"/>
          <w:numId w:val="4"/>
        </w:numPr>
      </w:pPr>
      <w:r>
        <w:t xml:space="preserve">Najogólniej można określić, że jest to: problem tak trudny, że nie można go rozwiązać w sposób zadowalający, sytuacja, w której zachodzi konieczność wyboru pomiędzy dwoma niezadowalającymi alternatywami (np. ograniczona ilość leków, powiedzieć czy nie powiedzieć, ciężko choremu człowiekowi lub jego rodzinie o bardzo złym rokowaniu?). </w:t>
      </w:r>
    </w:p>
    <w:p w14:paraId="188BE6A0" w14:textId="7D7B9C75" w:rsidR="00B103DE" w:rsidRDefault="00B103DE" w:rsidP="00B103DE">
      <w:pPr>
        <w:pStyle w:val="Akapitzlist"/>
        <w:numPr>
          <w:ilvl w:val="1"/>
          <w:numId w:val="4"/>
        </w:numPr>
      </w:pPr>
      <w:r>
        <w:t xml:space="preserve">dylemat etyczny to sytuacja sprzecznych moralnie żądań, wymagających ustosunkowania się do nich i wyboru. Podejmując działania zgodnie z jedną zasadą naruszamy drugą </w:t>
      </w:r>
    </w:p>
    <w:p w14:paraId="278C6DD1" w14:textId="48D4CCFC" w:rsidR="00B103DE" w:rsidRDefault="00B103DE" w:rsidP="00B103DE">
      <w:pPr>
        <w:pStyle w:val="Akapitzlist"/>
        <w:numPr>
          <w:ilvl w:val="0"/>
          <w:numId w:val="4"/>
        </w:numPr>
      </w:pPr>
      <w:r>
        <w:t xml:space="preserve">co zaszło przed wystąpieniem konfliktu wartości </w:t>
      </w:r>
    </w:p>
    <w:p w14:paraId="49C2F0B3" w14:textId="12886468" w:rsidR="00B103DE" w:rsidRDefault="00B103DE" w:rsidP="00B103DE">
      <w:pPr>
        <w:pStyle w:val="Akapitzlist"/>
        <w:numPr>
          <w:ilvl w:val="1"/>
          <w:numId w:val="4"/>
        </w:numPr>
      </w:pPr>
      <w:r>
        <w:t>każda ze stron swoimi słowami powinna opowiedzieć przebieg wydarzeń, podając zarówno zaistniałe fakty (kto co zrobił) jak i połączone z nimi wartości  (dlaczego sytuacja określana jest jako problem etyczny) i przeżywany przez strony konflikt etyczny</w:t>
      </w:r>
    </w:p>
    <w:p w14:paraId="0203DFD1" w14:textId="10A8C945" w:rsidR="00B103DE" w:rsidRDefault="00B103DE" w:rsidP="00B103DE">
      <w:pPr>
        <w:pStyle w:val="Akapitzlist"/>
        <w:numPr>
          <w:ilvl w:val="1"/>
          <w:numId w:val="4"/>
        </w:numPr>
      </w:pPr>
      <w:r>
        <w:t xml:space="preserve">stronami mogą być pacjent, członkowie rodziny, pielęgniarka, lekarz, inni pracownicy medyczni, administracja itd. </w:t>
      </w:r>
    </w:p>
    <w:p w14:paraId="04EFE44B" w14:textId="4C2FB742" w:rsidR="00B103DE" w:rsidRDefault="00B103DE" w:rsidP="00B103DE">
      <w:pPr>
        <w:pStyle w:val="Akapitzlist"/>
        <w:numPr>
          <w:ilvl w:val="0"/>
          <w:numId w:val="4"/>
        </w:numPr>
      </w:pPr>
      <w:r>
        <w:t xml:space="preserve">Jakie znaczenie mają wartości występujące w konflikcie </w:t>
      </w:r>
    </w:p>
    <w:p w14:paraId="5DE8CA84" w14:textId="77777777" w:rsidR="002E030B" w:rsidRDefault="00B103DE" w:rsidP="00B103DE">
      <w:pPr>
        <w:pStyle w:val="Akapitzlist"/>
        <w:numPr>
          <w:ilvl w:val="1"/>
          <w:numId w:val="4"/>
        </w:numPr>
      </w:pPr>
      <w:r>
        <w:t>Wyjaśniając znaczenie wartości ważnych dla stron, otrzymujemy nie tylko obraz wartości moralnych i poza moralnych ale także ich źródeł: religijnych, kulturowych, zawodowych a nawet politycznych. Dodatkowo analizujemy czy w tej sytuacji nie występuje również problem natury prawnej. Nie znaczy to że wszystkie wartości będą w tym konflikcie chronione. A raczej nie będą. Na tym etapie pielęgniarka rozpoczyna negocjacje. Celem jest ochrona wartości najważniejszych</w:t>
      </w:r>
    </w:p>
    <w:p w14:paraId="4B9B0D58" w14:textId="77777777" w:rsidR="002E030B" w:rsidRDefault="002E030B" w:rsidP="002E030B">
      <w:pPr>
        <w:pStyle w:val="Akapitzlist"/>
        <w:numPr>
          <w:ilvl w:val="0"/>
          <w:numId w:val="4"/>
        </w:numPr>
      </w:pPr>
      <w:r>
        <w:t xml:space="preserve">Jakie znaczenie ma konflikt dla każdej z zaangażowanych stron </w:t>
      </w:r>
    </w:p>
    <w:p w14:paraId="57D2286C" w14:textId="77777777" w:rsidR="002E030B" w:rsidRDefault="002E030B" w:rsidP="002E030B">
      <w:pPr>
        <w:pStyle w:val="Akapitzlist"/>
        <w:numPr>
          <w:ilvl w:val="1"/>
          <w:numId w:val="4"/>
        </w:numPr>
      </w:pPr>
      <w:r>
        <w:t xml:space="preserve">Wartości nigdy nie są stałe, zmieniają się z biegiem czasu, w wyniku ważnych dla człowieka wydarzeń, w wyniku relacji z innymi. Konflikt wartości może wpłynąć na jakość lub długość czyjegoś życia na poczucie winy wobec pozostałych stron konfliktu, na stres emocjonalny i psychiczny a także na dalsze zachowanie i pozycję zawodową pielęgniarki </w:t>
      </w:r>
    </w:p>
    <w:p w14:paraId="05C65486" w14:textId="77777777" w:rsidR="002E030B" w:rsidRDefault="002E030B" w:rsidP="002E030B">
      <w:pPr>
        <w:pStyle w:val="Akapitzlist"/>
        <w:numPr>
          <w:ilvl w:val="0"/>
          <w:numId w:val="4"/>
        </w:numPr>
      </w:pPr>
      <w:r>
        <w:t xml:space="preserve">Co należy zrobić </w:t>
      </w:r>
    </w:p>
    <w:p w14:paraId="0DE16709" w14:textId="77777777" w:rsidR="002E030B" w:rsidRDefault="002E030B" w:rsidP="002E030B">
      <w:pPr>
        <w:pStyle w:val="Akapitzlist"/>
        <w:numPr>
          <w:ilvl w:val="1"/>
          <w:numId w:val="4"/>
        </w:numPr>
      </w:pPr>
      <w:r>
        <w:t xml:space="preserve">Pielęgniarka rozważa wszystkie możliwe sposoby rozwiązania problemu. Rzadko możliwe jest jedno rozwiązanie „etycznie właściwe”. W większości przypadków decydują informacje dostępne w danych czasie, umiejętność </w:t>
      </w:r>
      <w:r>
        <w:lastRenderedPageBreak/>
        <w:t>zajmowania stanowiska przez głównego z decydentów. Opcje które powinny być rozpatrywane:</w:t>
      </w:r>
    </w:p>
    <w:p w14:paraId="0BCB3F8A" w14:textId="77777777" w:rsidR="002E030B" w:rsidRDefault="002E030B" w:rsidP="002E030B">
      <w:pPr>
        <w:pStyle w:val="Akapitzlist"/>
        <w:numPr>
          <w:ilvl w:val="2"/>
          <w:numId w:val="4"/>
        </w:numPr>
      </w:pPr>
      <w:r>
        <w:t>Wartości ważne dla poszczególnych stron</w:t>
      </w:r>
    </w:p>
    <w:p w14:paraId="34A98C91" w14:textId="77777777" w:rsidR="002E030B" w:rsidRDefault="002E030B" w:rsidP="002E030B">
      <w:pPr>
        <w:pStyle w:val="Akapitzlist"/>
        <w:numPr>
          <w:ilvl w:val="2"/>
          <w:numId w:val="4"/>
        </w:numPr>
      </w:pPr>
      <w:r>
        <w:t xml:space="preserve">Skutki różnych decyzji </w:t>
      </w:r>
    </w:p>
    <w:p w14:paraId="12602C82" w14:textId="77777777" w:rsidR="002E030B" w:rsidRDefault="002E030B" w:rsidP="002E030B">
      <w:pPr>
        <w:pStyle w:val="Akapitzlist"/>
        <w:numPr>
          <w:ilvl w:val="2"/>
          <w:numId w:val="4"/>
        </w:numPr>
      </w:pPr>
      <w:r>
        <w:t xml:space="preserve">Moralne dobro lub zło wynikające z proponowanych rozwiązań </w:t>
      </w:r>
    </w:p>
    <w:p w14:paraId="04518778" w14:textId="77777777" w:rsidR="002E030B" w:rsidRDefault="002E030B" w:rsidP="002E030B">
      <w:pPr>
        <w:pStyle w:val="Akapitzlist"/>
        <w:numPr>
          <w:ilvl w:val="1"/>
          <w:numId w:val="4"/>
        </w:numPr>
      </w:pPr>
      <w:r>
        <w:t xml:space="preserve">Po wprowadzeniu w życie dokonanego wyboru lub podjętej decyzji należy dokonać oceny jak wpływ na sytuację wywarła sama decyzja jak i cały proces postępowania. Czy proces można byłoby poprawić i czy ma znaczenie na różne sytuacje w przyszłości związane z opieką nad pacjentem. </w:t>
      </w:r>
    </w:p>
    <w:p w14:paraId="2DD46984" w14:textId="77777777" w:rsidR="002E030B" w:rsidRDefault="002E030B" w:rsidP="002E030B">
      <w:pPr>
        <w:pStyle w:val="Akapitzlist"/>
        <w:numPr>
          <w:ilvl w:val="0"/>
          <w:numId w:val="4"/>
        </w:numPr>
      </w:pPr>
      <w:r>
        <w:t>Promowanie zdrowia – art. 33 kodeksu pielęgniarek</w:t>
      </w:r>
    </w:p>
    <w:p w14:paraId="4AB60C8A" w14:textId="77777777" w:rsidR="002E030B" w:rsidRDefault="002E030B" w:rsidP="002E030B">
      <w:pPr>
        <w:pStyle w:val="Akapitzlist"/>
        <w:numPr>
          <w:ilvl w:val="1"/>
          <w:numId w:val="4"/>
        </w:numPr>
      </w:pPr>
      <w:r>
        <w:t>Informowanie o środkach antykoncepcyjnych?</w:t>
      </w:r>
    </w:p>
    <w:p w14:paraId="09533B52" w14:textId="77777777" w:rsidR="002E030B" w:rsidRDefault="002E030B" w:rsidP="002E030B">
      <w:pPr>
        <w:pStyle w:val="Akapitzlist"/>
        <w:numPr>
          <w:ilvl w:val="1"/>
          <w:numId w:val="4"/>
        </w:numPr>
      </w:pPr>
      <w:r>
        <w:t>Informowanie o zasadach bezpieczeństwa bliskim osób chorych zakaźnie?</w:t>
      </w:r>
    </w:p>
    <w:p w14:paraId="1BFC85CB" w14:textId="77777777" w:rsidR="002E030B" w:rsidRDefault="002E030B" w:rsidP="002E030B">
      <w:pPr>
        <w:pStyle w:val="Akapitzlist"/>
        <w:numPr>
          <w:ilvl w:val="1"/>
          <w:numId w:val="4"/>
        </w:numPr>
      </w:pPr>
      <w:r>
        <w:t>Zachęcanie do szczepień?</w:t>
      </w:r>
    </w:p>
    <w:p w14:paraId="53779607" w14:textId="77777777" w:rsidR="002E030B" w:rsidRDefault="002E030B" w:rsidP="002E030B">
      <w:pPr>
        <w:pStyle w:val="Akapitzlist"/>
        <w:numPr>
          <w:ilvl w:val="1"/>
          <w:numId w:val="4"/>
        </w:numPr>
      </w:pPr>
      <w:r>
        <w:t>Promowanie zdrowia w aspekcie wyboru pomiędzy zbyt wieloma pacjentami naraz wymagającymi opieki pielęgniarki?</w:t>
      </w:r>
    </w:p>
    <w:p w14:paraId="48FF282D" w14:textId="77777777" w:rsidR="002E030B" w:rsidRDefault="002E030B" w:rsidP="002E030B">
      <w:pPr>
        <w:pStyle w:val="Akapitzlist"/>
        <w:numPr>
          <w:ilvl w:val="0"/>
          <w:numId w:val="4"/>
        </w:numPr>
      </w:pPr>
      <w:r>
        <w:t xml:space="preserve">Bioetyka </w:t>
      </w:r>
    </w:p>
    <w:p w14:paraId="5C9A0768" w14:textId="77777777" w:rsidR="002E030B" w:rsidRDefault="002E030B" w:rsidP="002E030B">
      <w:pPr>
        <w:pStyle w:val="Akapitzlist"/>
        <w:numPr>
          <w:ilvl w:val="1"/>
          <w:numId w:val="4"/>
        </w:numPr>
      </w:pPr>
      <w:r>
        <w:t xml:space="preserve">Słowo „bioetyka” pochodzi od greckich słów bios – życie i </w:t>
      </w:r>
      <w:proofErr w:type="spellStart"/>
      <w:r>
        <w:t>ethos</w:t>
      </w:r>
      <w:proofErr w:type="spellEnd"/>
      <w:r>
        <w:t xml:space="preserve"> – obyczaj. Nie skupia się jedynie na kwestiach związanych z naukami medycznymi, chociaż tak jest najczęściej postrzegana. Przedmiot jej zainteresowania jest o wiele szerszy, włączając szeroko pojęte kwestie ekologii i ochrony środowiska naturalnego </w:t>
      </w:r>
    </w:p>
    <w:p w14:paraId="2C5C6520" w14:textId="77777777" w:rsidR="002E030B" w:rsidRDefault="002E030B" w:rsidP="002E030B">
      <w:pPr>
        <w:pStyle w:val="Akapitzlist"/>
        <w:numPr>
          <w:ilvl w:val="1"/>
          <w:numId w:val="4"/>
        </w:numPr>
      </w:pPr>
      <w:r>
        <w:t xml:space="preserve">Bioetyka – refleksja moralna dotycząca teoretycznych i praktycznych aspektów nauk biomedycznych, a zwłaszcza relacji, jakie zachodzą pomiędzy lekarzem a pacjentem oraz medycyną i społeczeństwem w warunkach przyspieszonego rozwoju technologii medycznych </w:t>
      </w:r>
    </w:p>
    <w:p w14:paraId="66CC5E92" w14:textId="5C39A6FB" w:rsidR="00B103DE" w:rsidRDefault="002E030B" w:rsidP="002E030B">
      <w:pPr>
        <w:pStyle w:val="Akapitzlist"/>
        <w:numPr>
          <w:ilvl w:val="2"/>
          <w:numId w:val="4"/>
        </w:numPr>
      </w:pPr>
      <w:r>
        <w:t xml:space="preserve">Bioetyka to stosunkowo nowa, dynamicznie rozwijająca się interdyscyplinarna dziedzina wiedzy i praktyki społecznej zajmująca się </w:t>
      </w:r>
      <w:r w:rsidR="00B103DE">
        <w:t xml:space="preserve"> </w:t>
      </w:r>
      <w:r>
        <w:t xml:space="preserve">etycznymi oraz </w:t>
      </w:r>
      <w:proofErr w:type="spellStart"/>
      <w:r>
        <w:t>spo</w:t>
      </w:r>
      <w:r w:rsidR="004E069A">
        <w:t>łeczno</w:t>
      </w:r>
      <w:proofErr w:type="spellEnd"/>
      <w:r w:rsidR="004E069A">
        <w:t xml:space="preserve"> – kulturowymi, prawnymi i </w:t>
      </w:r>
      <w:proofErr w:type="spellStart"/>
      <w:r w:rsidR="004E069A">
        <w:t>polityczno</w:t>
      </w:r>
      <w:proofErr w:type="spellEnd"/>
      <w:r w:rsidR="004E069A">
        <w:t xml:space="preserve"> – ekonomicznymi uwarunkowaniami rozwoju nauk medycznych i biologicznych, a także innych dyscyplin, których bezpośrednim przedmiotem badań bądź oddziaływań jest  zdrowie lub życie ludzi, dobrostan zwierząt lub środowisko naturalne. </w:t>
      </w:r>
    </w:p>
    <w:p w14:paraId="4E7C363A" w14:textId="23D93069" w:rsidR="004E069A" w:rsidRDefault="004E069A" w:rsidP="002E030B">
      <w:pPr>
        <w:pStyle w:val="Akapitzlist"/>
        <w:numPr>
          <w:ilvl w:val="2"/>
          <w:numId w:val="4"/>
        </w:numPr>
      </w:pPr>
      <w:r>
        <w:t xml:space="preserve">Jan </w:t>
      </w:r>
      <w:proofErr w:type="spellStart"/>
      <w:r>
        <w:t>Hartman</w:t>
      </w:r>
      <w:proofErr w:type="spellEnd"/>
      <w:r>
        <w:t xml:space="preserve"> dokonał podziału bioetyki ze względu na „obszary problemowe” które leżą w granicach zainteresowań tej dziedziny nauki. Obszary te dotyczą problematyki związanej z początkiem i końcem życia (np. zapłodnienie in vitro, aborcja, eutanazja, wspomagane samobójstwo), polityką zdrowotną (np. dostęp do świadczeń, zasady finansowania w opiece zdrowotnej, zasady racjonowania świadczeń deficytowych), a także badaniami </w:t>
      </w:r>
      <w:r>
        <w:lastRenderedPageBreak/>
        <w:t xml:space="preserve">naukowymi(głównie zasadami ich przeprowadzania). Ten podział być może w większym stopniu jak ten przedstawiony przez </w:t>
      </w:r>
      <w:proofErr w:type="spellStart"/>
      <w:r>
        <w:t>Callahana</w:t>
      </w:r>
      <w:proofErr w:type="spellEnd"/>
      <w:r>
        <w:t xml:space="preserve"> powinien uzmysłowić, że problemy bioetyki są nierozerwalnie związane z wykonywaniem zawodu pielęgniarki. </w:t>
      </w:r>
    </w:p>
    <w:p w14:paraId="224FDF38" w14:textId="18CB7FCB" w:rsidR="004E069A" w:rsidRDefault="004E069A" w:rsidP="004E069A">
      <w:pPr>
        <w:pStyle w:val="Akapitzlist"/>
        <w:numPr>
          <w:ilvl w:val="0"/>
          <w:numId w:val="4"/>
        </w:numPr>
      </w:pPr>
      <w:r>
        <w:t>Proces norymberski</w:t>
      </w:r>
    </w:p>
    <w:p w14:paraId="66C4A122" w14:textId="0BB9B25D" w:rsidR="004E069A" w:rsidRDefault="004E069A" w:rsidP="004E069A">
      <w:pPr>
        <w:pStyle w:val="Akapitzlist"/>
        <w:numPr>
          <w:ilvl w:val="0"/>
          <w:numId w:val="4"/>
        </w:numPr>
      </w:pPr>
      <w:r>
        <w:t xml:space="preserve">Eksperyment leczniczy -  charakteryzuje się tym, że służy poprawie zdrowia pacjentów biorących udział w doświadczeniu. Jest on przeprowadzony w interesie konkretnego pacjenta w sytuacji, gdy zastosowane dotąd dostępne metody terapeutyczne okazały się bezskuteczne lub mało skuteczne, a proponowana metoda pozwala spodziewać się korzyści dla chorego, które w istotny sposób przeważają nad ryzykiem dla zdrowia związanym z zastosowaną procedurą </w:t>
      </w:r>
    </w:p>
    <w:p w14:paraId="064ED0EF" w14:textId="5E428421" w:rsidR="004E069A" w:rsidRDefault="004E069A" w:rsidP="004E069A">
      <w:pPr>
        <w:pStyle w:val="Akapitzlist"/>
        <w:numPr>
          <w:ilvl w:val="0"/>
          <w:numId w:val="4"/>
        </w:numPr>
      </w:pPr>
      <w:r>
        <w:t xml:space="preserve">Eksperyment badawczy – ma na celu przede wszystkim rozszerzenie wiedzy medycznej ma więc charakter czysto poznawczy, </w:t>
      </w:r>
      <w:proofErr w:type="spellStart"/>
      <w:r>
        <w:t>eksploratywny</w:t>
      </w:r>
      <w:proofErr w:type="spellEnd"/>
      <w:r>
        <w:t xml:space="preserve">, rzadziej jednocześnie leczniczy. Eksperyment ten może być przeprowadzony zarówno na osobach chorych jak i zdrowych, ale dopuszczalny jest jedynie wówczas, gdy uczestnictwo w nim nie jest związane z ryzykiem lub jest ono niewielkie i nie pozostaje w dysproporcji do możliwych pozytywnych rezultatów. Przykładem może być projekt badań polegających na oznaczaniu poziomu określonego parametru biochemicznego w organizmie chorego leczonego rutynowo, co łączy się np. wyłącznie z koniecznością nieco częstszego pobrania prób krwi do badań, niż wynikałoby to z normalnego postępowania leczniczego lub diagnostycznego </w:t>
      </w:r>
    </w:p>
    <w:p w14:paraId="3862A9E4" w14:textId="77777777" w:rsidR="00A5564D" w:rsidRDefault="004E069A" w:rsidP="004E069A">
      <w:pPr>
        <w:pStyle w:val="Akapitzlist"/>
        <w:numPr>
          <w:ilvl w:val="0"/>
          <w:numId w:val="4"/>
        </w:numPr>
      </w:pPr>
      <w:r>
        <w:t xml:space="preserve">Warunki legalności eksperymentu </w:t>
      </w:r>
      <w:r w:rsidR="00A5564D">
        <w:t>– spodziewane korzyści dla postępu wiedzy i praktyki w sposób zdecydowany przeważają nad ewentualnym ryzykiem dla probanta.</w:t>
      </w:r>
    </w:p>
    <w:p w14:paraId="32B188CE" w14:textId="6191FB4D" w:rsidR="004E069A" w:rsidRDefault="00A5564D" w:rsidP="00A5564D">
      <w:pPr>
        <w:pStyle w:val="Akapitzlist"/>
        <w:numPr>
          <w:ilvl w:val="1"/>
          <w:numId w:val="4"/>
        </w:numPr>
      </w:pPr>
      <w:r>
        <w:t xml:space="preserve"> Musi być przeprowadzony zgodnie z zasadami badań naukowych a stosowane metody odpowiadać aktualnemu stanowi wiedzy</w:t>
      </w:r>
    </w:p>
    <w:p w14:paraId="13B27528" w14:textId="55FBBEBA" w:rsidR="00A5564D" w:rsidRDefault="00A5564D" w:rsidP="00A5564D">
      <w:pPr>
        <w:pStyle w:val="Akapitzlist"/>
        <w:numPr>
          <w:ilvl w:val="1"/>
          <w:numId w:val="4"/>
        </w:numPr>
      </w:pPr>
      <w:r>
        <w:t>Projekt każdego biomedycznego badania naukowego z udziałem ludzi winien być poprzedzony staranną oceną dającego się przewidzieć ryzyka w porównaniu z możliwymi do przewidzenia korzyściami dla osób badanych lub innych</w:t>
      </w:r>
    </w:p>
    <w:p w14:paraId="24ECE993" w14:textId="0D9C74DA" w:rsidR="00A5564D" w:rsidRDefault="00A5564D" w:rsidP="00A5564D">
      <w:pPr>
        <w:pStyle w:val="Akapitzlist"/>
        <w:numPr>
          <w:ilvl w:val="1"/>
          <w:numId w:val="4"/>
        </w:numPr>
      </w:pPr>
      <w:r>
        <w:t xml:space="preserve">Należy też przerwać badanie, jeżeli w jakimś momencie stwierdza się, że jego ryzyko przeważa nad potencjalnymi korzyściami </w:t>
      </w:r>
    </w:p>
    <w:p w14:paraId="72282824" w14:textId="4BDF87CA" w:rsidR="00A5564D" w:rsidRDefault="00A5564D" w:rsidP="00A5564D">
      <w:pPr>
        <w:pStyle w:val="Akapitzlist"/>
        <w:numPr>
          <w:ilvl w:val="1"/>
          <w:numId w:val="4"/>
        </w:numPr>
      </w:pPr>
      <w:r>
        <w:t xml:space="preserve">Osoba mająca być poddana eksperymentowi </w:t>
      </w:r>
      <w:r w:rsidR="00CF18B4">
        <w:t xml:space="preserve">biomedycznemu mysi wyrazić zgodę na udział w planowanych badaniach oraz musi być uprzednio wyczerpująco poinformowana o wszystkich aspektach doświadczenia, które mogą jej dotyczyć, a także o prawie do odstąpienia w każdym czasie od udziału w eksperymencie </w:t>
      </w:r>
    </w:p>
    <w:p w14:paraId="059C61F0" w14:textId="422C28A7" w:rsidR="00CF18B4" w:rsidRDefault="00CF18B4" w:rsidP="00CF18B4">
      <w:pPr>
        <w:pStyle w:val="Akapitzlist"/>
        <w:numPr>
          <w:ilvl w:val="1"/>
          <w:numId w:val="4"/>
        </w:numPr>
      </w:pPr>
      <w:r>
        <w:t xml:space="preserve">Osoby, które nie są zdolne do swobodnego podejmowania decyzji i wyrażania woli, nie mogą być przedmiotem eksperymentów badawczych </w:t>
      </w:r>
    </w:p>
    <w:p w14:paraId="7D9B11CB" w14:textId="77777777" w:rsidR="00CF18B4" w:rsidRDefault="00CF18B4" w:rsidP="00CF18B4">
      <w:pPr>
        <w:pStyle w:val="Akapitzlist"/>
        <w:ind w:left="1440"/>
      </w:pPr>
    </w:p>
    <w:p w14:paraId="1D8AC44B" w14:textId="4A995B29" w:rsidR="00CF18B4" w:rsidRDefault="00CF18B4" w:rsidP="00CF18B4">
      <w:pPr>
        <w:pStyle w:val="Akapitzlist"/>
        <w:numPr>
          <w:ilvl w:val="0"/>
          <w:numId w:val="4"/>
        </w:numPr>
      </w:pPr>
      <w:r>
        <w:lastRenderedPageBreak/>
        <w:t>Komisje bioetyczne</w:t>
      </w:r>
    </w:p>
    <w:p w14:paraId="70AB8A5D" w14:textId="56F5F703" w:rsidR="00CF18B4" w:rsidRDefault="00CF18B4" w:rsidP="00CF18B4">
      <w:pPr>
        <w:pStyle w:val="Akapitzlist"/>
        <w:numPr>
          <w:ilvl w:val="1"/>
          <w:numId w:val="4"/>
        </w:numPr>
      </w:pPr>
      <w:r>
        <w:t>Jest to organ składający się z osób związanych zawodowo z medycyną oraz innych osób, a odpowiedzialny jest za to, by bezpieczeństwo i prawa osób uczestniczących w badaniu były chronione; stanowi tym samym rękojmię kontroli społecznej</w:t>
      </w:r>
    </w:p>
    <w:p w14:paraId="0FAA486E" w14:textId="199D17A2" w:rsidR="00CF18B4" w:rsidRDefault="00CF18B4" w:rsidP="00CF18B4">
      <w:pPr>
        <w:pStyle w:val="Akapitzlist"/>
        <w:numPr>
          <w:ilvl w:val="1"/>
          <w:numId w:val="4"/>
        </w:numPr>
      </w:pPr>
      <w:r>
        <w:t xml:space="preserve">Projekt każdego eksperymentu medycznego na ludziach musi uzyskać pozytywną opinię niezależnej komisji etycznej, zanim zostanie podjęta decyzja o podjęciu badań doświadczalnych. Projekt ten powinien w sposób jasny prezentować celowość badań, kryteria kwalifikacji probantów, zasady badania, ocenę stopnia ryzyka, spodziewane korzyści dla pacjenta lub ogólnego postępu wiedzy i praktyki, zagrożenia związane z badaniem (działania uboczne i powikłania), doświadczenie i kwalifikacje zespołu badawczego, treść wyczerpującej informacji przekazanej osobom badanym i treść formularza ich świadomej zgody na eksperyment, ewentualnie też źródło finansowania badań i dane dotyczące odpowiedzialności cywilnej za szkody będące bezpośrednim następstwem przeprowadzonego eksperymentu </w:t>
      </w:r>
    </w:p>
    <w:p w14:paraId="37BC1DBC" w14:textId="77777777" w:rsidR="00CF18B4" w:rsidRDefault="00CF18B4" w:rsidP="00CF18B4"/>
    <w:p w14:paraId="42C752BB" w14:textId="3967D4A7" w:rsidR="00CF18B4" w:rsidRDefault="00CF18B4" w:rsidP="00CF18B4">
      <w:r>
        <w:t xml:space="preserve">Pielęgniarki a ludzi </w:t>
      </w:r>
    </w:p>
    <w:p w14:paraId="7CE16442" w14:textId="77777777" w:rsidR="00CF18B4" w:rsidRDefault="00CF18B4" w:rsidP="00CF18B4"/>
    <w:p w14:paraId="66C61CF1" w14:textId="5E2D9159" w:rsidR="00CF18B4" w:rsidRDefault="00CF18B4" w:rsidP="00CF18B4">
      <w:pPr>
        <w:pStyle w:val="Akapitzlist"/>
        <w:numPr>
          <w:ilvl w:val="0"/>
          <w:numId w:val="5"/>
        </w:numPr>
      </w:pPr>
      <w:r>
        <w:t>Konwencje genewskie</w:t>
      </w:r>
    </w:p>
    <w:p w14:paraId="1DF796B9" w14:textId="2227F57E" w:rsidR="00CF18B4" w:rsidRDefault="00CF18B4" w:rsidP="00CF18B4">
      <w:pPr>
        <w:pStyle w:val="Akapitzlist"/>
        <w:numPr>
          <w:ilvl w:val="1"/>
          <w:numId w:val="5"/>
        </w:numPr>
      </w:pPr>
      <w:r>
        <w:t xml:space="preserve">Pierwsza konwencja genewska, podpisana w 1864 roku, miała na celu poprawę losu rannych i chorych żołnierzy na polu bitwy. Jej pomysłodawcą był założyciel czerwonego krzyża, szwajcarski filantrop Henri </w:t>
      </w:r>
      <w:proofErr w:type="spellStart"/>
      <w:r>
        <w:t>Dunant</w:t>
      </w:r>
      <w:proofErr w:type="spellEnd"/>
      <w:r>
        <w:t>, pierwszy laureat pokojowej nagrody nobla, który jako trzydziestolatek znalazł się na pobojowisku bitwy pod Solferino. Wstrząśnięty tym widokiem przy pomocy okolicznych mieszkańców zaczął udzielać pomocy rannym po oby stronach konfliktu</w:t>
      </w:r>
    </w:p>
    <w:p w14:paraId="46DBCE26" w14:textId="37B138FF" w:rsidR="00CF18B4" w:rsidRDefault="00CF18B4" w:rsidP="00CF18B4">
      <w:pPr>
        <w:pStyle w:val="Akapitzlist"/>
        <w:numPr>
          <w:ilvl w:val="1"/>
          <w:numId w:val="5"/>
        </w:numPr>
      </w:pPr>
      <w:r>
        <w:t xml:space="preserve">W 1949 roku – po doświadczeniach II wojny światowej – uchwalono 4 nowe konwencje, które stanowią kamień milowy w historii międzynarodowego prawa humanitarnego. Ich celem jest zapewnienie ochrony już nie tylko żołnierzom, ale także jeńcom wojennym i ludności cywilnej. Konwencje genewskie obowiązują w każdym przypadku, gdy toczą się działania wojenne, niezależnie od tego czy wojnę wypowiedziano </w:t>
      </w:r>
    </w:p>
    <w:p w14:paraId="69DF2993" w14:textId="4091F764" w:rsidR="00CF18B4" w:rsidRDefault="00CF18B4" w:rsidP="00CF18B4">
      <w:pPr>
        <w:pStyle w:val="Akapitzlist"/>
        <w:numPr>
          <w:ilvl w:val="0"/>
          <w:numId w:val="5"/>
        </w:numPr>
      </w:pPr>
      <w:r>
        <w:t xml:space="preserve">Konflikt zbrojny </w:t>
      </w:r>
    </w:p>
    <w:p w14:paraId="564000E7" w14:textId="3CF3C891" w:rsidR="00CF18B4" w:rsidRDefault="00CF18B4" w:rsidP="00CF18B4">
      <w:pPr>
        <w:pStyle w:val="Akapitzlist"/>
        <w:numPr>
          <w:ilvl w:val="1"/>
          <w:numId w:val="5"/>
        </w:numPr>
      </w:pPr>
      <w:r>
        <w:t xml:space="preserve">Personel medyczny </w:t>
      </w:r>
      <w:r w:rsidR="009E6713">
        <w:t xml:space="preserve">wypełniający swoje zadania w czasie konfliktu zbrojnego musi respektować zasady etyki zdrowotnej w taki sposób, jak w czasie pokoju </w:t>
      </w:r>
    </w:p>
    <w:p w14:paraId="2625CC39" w14:textId="38F5954C" w:rsidR="009E6713" w:rsidRDefault="009E6713" w:rsidP="00CF18B4">
      <w:pPr>
        <w:pStyle w:val="Akapitzlist"/>
        <w:numPr>
          <w:ilvl w:val="1"/>
          <w:numId w:val="5"/>
        </w:numPr>
      </w:pPr>
      <w:r>
        <w:lastRenderedPageBreak/>
        <w:t>Osoby nie biorące bezpośredniego udziału w starciach oraz niezdolne do walki powinny być traktowane humanitarnie</w:t>
      </w:r>
    </w:p>
    <w:p w14:paraId="3AFEBF4B" w14:textId="66F6DE41" w:rsidR="009E6713" w:rsidRDefault="009E6713" w:rsidP="00CF18B4">
      <w:pPr>
        <w:pStyle w:val="Akapitzlist"/>
        <w:numPr>
          <w:ilvl w:val="1"/>
          <w:numId w:val="5"/>
        </w:numPr>
      </w:pPr>
      <w:r>
        <w:t>Opieka musi być zapewniona jedynie wg kryteriów medycznych a nie innych</w:t>
      </w:r>
    </w:p>
    <w:p w14:paraId="08ED3784" w14:textId="2CD7CBC4" w:rsidR="009E6713" w:rsidRDefault="009E6713" w:rsidP="00CF18B4">
      <w:pPr>
        <w:pStyle w:val="Akapitzlist"/>
        <w:numPr>
          <w:ilvl w:val="1"/>
          <w:numId w:val="5"/>
        </w:numPr>
      </w:pPr>
      <w:r>
        <w:t xml:space="preserve">Zabrania się poddawania osób chronionych działaniom medycznym nie wynikającym z ich stanu zdrowia oraz dokonywania na nich jakichkolwiek eksperymentów medycznych, biologicznych lub innych naukowych </w:t>
      </w:r>
    </w:p>
    <w:p w14:paraId="380EDC58" w14:textId="3BE07711" w:rsidR="009E6713" w:rsidRDefault="009E6713" w:rsidP="00CF18B4">
      <w:pPr>
        <w:pStyle w:val="Akapitzlist"/>
        <w:numPr>
          <w:ilvl w:val="1"/>
          <w:numId w:val="5"/>
        </w:numPr>
      </w:pPr>
      <w:r>
        <w:t>Wola rannego i chorego musi być szanowana</w:t>
      </w:r>
    </w:p>
    <w:p w14:paraId="3DD35D43" w14:textId="1FB8BE11" w:rsidR="009E6713" w:rsidRDefault="009E6713" w:rsidP="00CF18B4">
      <w:pPr>
        <w:pStyle w:val="Akapitzlist"/>
        <w:numPr>
          <w:ilvl w:val="1"/>
          <w:numId w:val="5"/>
        </w:numPr>
      </w:pPr>
      <w:r>
        <w:t xml:space="preserve">Zabrania się działań odwetowych na osobach chronionych </w:t>
      </w:r>
    </w:p>
    <w:p w14:paraId="45595B6E" w14:textId="64351670" w:rsidR="009E6713" w:rsidRDefault="009E6713" w:rsidP="00CF18B4">
      <w:pPr>
        <w:pStyle w:val="Akapitzlist"/>
        <w:numPr>
          <w:ilvl w:val="1"/>
          <w:numId w:val="5"/>
        </w:numPr>
      </w:pPr>
      <w:r>
        <w:t xml:space="preserve">Rozdział 2 o rannych i chorych – art. 12 </w:t>
      </w:r>
    </w:p>
    <w:p w14:paraId="2AB6C534" w14:textId="77777777" w:rsidR="00AD5169" w:rsidRDefault="00AD5169" w:rsidP="00AD5169">
      <w:pPr>
        <w:pStyle w:val="NormalnyWeb"/>
        <w:numPr>
          <w:ilvl w:val="2"/>
          <w:numId w:val="5"/>
        </w:numPr>
        <w:rPr>
          <w:rFonts w:ascii="Times New Roman CE" w:hAnsi="Times New Roman CE" w:cs="Times New Roman CE"/>
          <w:color w:val="000000"/>
        </w:rPr>
      </w:pPr>
      <w:r>
        <w:rPr>
          <w:rFonts w:ascii="Times New Roman CE" w:hAnsi="Times New Roman CE" w:cs="Times New Roman CE"/>
          <w:color w:val="000000"/>
        </w:rPr>
        <w:t>Członkowie sił zbrojnych i inne osoby wymienione w następnym artykule, którzy są ranni lub chorzy, będą szanowani i chronieni we wszelkich okolicznościach.</w:t>
      </w:r>
    </w:p>
    <w:p w14:paraId="40B83641" w14:textId="77777777" w:rsidR="00AD5169" w:rsidRDefault="00AD5169" w:rsidP="00AD5169">
      <w:pPr>
        <w:pStyle w:val="NormalnyWeb"/>
        <w:numPr>
          <w:ilvl w:val="2"/>
          <w:numId w:val="5"/>
        </w:numPr>
        <w:rPr>
          <w:rFonts w:ascii="Times New Roman CE" w:hAnsi="Times New Roman CE" w:cs="Times New Roman CE"/>
          <w:color w:val="000000"/>
        </w:rPr>
      </w:pPr>
      <w:r>
        <w:rPr>
          <w:rFonts w:ascii="Times New Roman CE" w:hAnsi="Times New Roman CE" w:cs="Times New Roman CE"/>
          <w:color w:val="000000"/>
        </w:rPr>
        <w:t>Będą oni traktowani w sposób humanitarny i leczeni przez tę Stronę w konflikcie, w której mocy się znajdują, baz żadnej na ich niekorzyść różnicy z powodu płci, rasy, narodowości, religii, poglądów politycznych lub z jakichkolwiek innych analogicznych powodów. Zabronione są surowo wszelkie zamachy na ich życie i osobę, a między innymi ich dobijanie lub wyniszczanie, torturowanie, dokonywanie na nich doświadczeń biologicznych, pozostawianie ich z premedytacją bez pomocy lekarskiej lub bez opieki albo stwarzanie warunków narażających ich na zarażenie się lub zakażenie.</w:t>
      </w:r>
    </w:p>
    <w:p w14:paraId="760637B2" w14:textId="77777777" w:rsidR="00AD5169" w:rsidRDefault="00AD5169" w:rsidP="00AD5169">
      <w:pPr>
        <w:pStyle w:val="NormalnyWeb"/>
        <w:numPr>
          <w:ilvl w:val="2"/>
          <w:numId w:val="5"/>
        </w:numPr>
        <w:rPr>
          <w:rFonts w:ascii="Times New Roman CE" w:hAnsi="Times New Roman CE" w:cs="Times New Roman CE"/>
          <w:color w:val="000000"/>
        </w:rPr>
      </w:pPr>
      <w:r>
        <w:rPr>
          <w:rFonts w:ascii="Times New Roman CE" w:hAnsi="Times New Roman CE" w:cs="Times New Roman CE"/>
          <w:color w:val="000000"/>
        </w:rPr>
        <w:t>Tylko nagłość z punktu widzenia lekarskiego może upoważnić do dania pierwszeństwa w kolejności udzielania pomocy.</w:t>
      </w:r>
    </w:p>
    <w:p w14:paraId="6793B0EE" w14:textId="77777777" w:rsidR="00AD5169" w:rsidRDefault="00AD5169" w:rsidP="00AD5169">
      <w:pPr>
        <w:pStyle w:val="NormalnyWeb"/>
        <w:numPr>
          <w:ilvl w:val="2"/>
          <w:numId w:val="5"/>
        </w:numPr>
        <w:rPr>
          <w:rFonts w:ascii="Times New Roman CE" w:hAnsi="Times New Roman CE" w:cs="Times New Roman CE"/>
          <w:color w:val="000000"/>
        </w:rPr>
      </w:pPr>
      <w:r>
        <w:rPr>
          <w:rFonts w:ascii="Times New Roman CE" w:hAnsi="Times New Roman CE" w:cs="Times New Roman CE"/>
          <w:color w:val="000000"/>
        </w:rPr>
        <w:t>Kobiety mają być traktowane ze szczególnymi względami należnymi ich płci.</w:t>
      </w:r>
    </w:p>
    <w:p w14:paraId="27F791AC" w14:textId="77777777" w:rsidR="00AD5169" w:rsidRDefault="00AD5169" w:rsidP="00AD5169">
      <w:pPr>
        <w:pStyle w:val="NormalnyWeb"/>
        <w:numPr>
          <w:ilvl w:val="2"/>
          <w:numId w:val="5"/>
        </w:numPr>
        <w:rPr>
          <w:rFonts w:ascii="Times New Roman CE" w:hAnsi="Times New Roman CE" w:cs="Times New Roman CE"/>
          <w:color w:val="000000"/>
        </w:rPr>
      </w:pPr>
      <w:r>
        <w:rPr>
          <w:rFonts w:ascii="Times New Roman CE" w:hAnsi="Times New Roman CE" w:cs="Times New Roman CE"/>
          <w:color w:val="000000"/>
        </w:rPr>
        <w:t>Strona w konflikcie, zmuszona do pozostawienia rannych lub chorych swemu przeciwnikowi, pozostawi wraz z nimi, o ile tylko względy wojskowe na to pozwolą, część swego personelu i materiału sanitarnego, aby przyczynić się do ich leczenia.</w:t>
      </w:r>
    </w:p>
    <w:p w14:paraId="3474FE56" w14:textId="2777E81B" w:rsidR="00AD5169" w:rsidRDefault="00AD5169" w:rsidP="00AD5169">
      <w:pPr>
        <w:pStyle w:val="Akapitzlist"/>
        <w:numPr>
          <w:ilvl w:val="0"/>
          <w:numId w:val="5"/>
        </w:numPr>
      </w:pPr>
      <w:r>
        <w:t xml:space="preserve">Ranni i chorzy </w:t>
      </w:r>
    </w:p>
    <w:p w14:paraId="0DAE4B3D" w14:textId="67814F0A" w:rsidR="00AD5169" w:rsidRDefault="00AD5169" w:rsidP="00AD5169">
      <w:pPr>
        <w:pStyle w:val="Akapitzlist"/>
        <w:numPr>
          <w:ilvl w:val="1"/>
          <w:numId w:val="5"/>
        </w:numPr>
      </w:pPr>
      <w:r>
        <w:t>Pierwsza konwencja genewska z 1949 roku zapewnia ochronę rannym i chorym w wojnie lądowej, a druga konwencja genewska rannym, chorym i rozbitkom w wojnie morskiej. Zakres jej ochrony został rozszerzony i uzupełniony w protokole dodatkowym z 1977 roku</w:t>
      </w:r>
    </w:p>
    <w:p w14:paraId="424A973E" w14:textId="45714CC1" w:rsidR="00AD5169" w:rsidRDefault="00AD5169" w:rsidP="00AD5169">
      <w:pPr>
        <w:pStyle w:val="Akapitzlist"/>
        <w:numPr>
          <w:ilvl w:val="1"/>
          <w:numId w:val="5"/>
        </w:numPr>
      </w:pPr>
      <w:r>
        <w:t>„tylko wzgląd na konieczność pośpiechu z punktu widzenia lekarskiego może usprawiedliwiać priorytet w udzielaniu pomocy”</w:t>
      </w:r>
    </w:p>
    <w:p w14:paraId="0939FB82" w14:textId="21CFCBD8" w:rsidR="00AD5169" w:rsidRDefault="00AD5169" w:rsidP="00AD5169">
      <w:pPr>
        <w:pStyle w:val="Akapitzlist"/>
        <w:numPr>
          <w:ilvl w:val="1"/>
          <w:numId w:val="5"/>
        </w:numPr>
      </w:pPr>
      <w:r>
        <w:t xml:space="preserve">Formacje i zakłady sanitarne jak również personel sanitarny korzystają z ochrony. Nie mogą być przedmiotem ataków, a jeśli wpadną w ręce strony przeciwnej, mogą nadal spełniać swoje czynności. Na równi z personelem sanitarnym z ochrony korzysta personel czerwonego krzyża i innych dobrowolnych organizacji pomocy znakiem rozpoznawczym, który powinien być umieszczony na flagach, opaskach, oraz na urządzeniach przeznaczonych dla służby sanitarnej jest godło czerwonego krzyża </w:t>
      </w:r>
    </w:p>
    <w:p w14:paraId="1A00ED34" w14:textId="329B59F9" w:rsidR="00AD5169" w:rsidRDefault="00AD5169" w:rsidP="00AD5169">
      <w:pPr>
        <w:pStyle w:val="Akapitzlist"/>
        <w:numPr>
          <w:ilvl w:val="0"/>
          <w:numId w:val="5"/>
        </w:numPr>
      </w:pPr>
      <w:r>
        <w:lastRenderedPageBreak/>
        <w:t>Ustanie ochrony – konwencje genewskie</w:t>
      </w:r>
    </w:p>
    <w:p w14:paraId="40780C96" w14:textId="0646F52D" w:rsidR="00AD5169" w:rsidRDefault="00AD5169" w:rsidP="00AD5169">
      <w:pPr>
        <w:pStyle w:val="Akapitzlist"/>
        <w:numPr>
          <w:ilvl w:val="1"/>
          <w:numId w:val="5"/>
        </w:numPr>
      </w:pPr>
      <w:r>
        <w:t>Ochrona ustaje, jeśli obiekty oznaczone znakiem czerwonego krzyża używane są wbrew ich zadaniom humanitarnym do działania na szkodę nieprzyjaciela. Nie uważa się za powód wystarczający do pozbawienia ochrony stwierdzenie, że</w:t>
      </w:r>
    </w:p>
    <w:p w14:paraId="6CCE1A86" w14:textId="0812087D" w:rsidR="00AD5169" w:rsidRDefault="00AD5169" w:rsidP="00AD5169">
      <w:pPr>
        <w:pStyle w:val="Akapitzlist"/>
        <w:numPr>
          <w:ilvl w:val="2"/>
          <w:numId w:val="5"/>
        </w:numPr>
      </w:pPr>
      <w:r>
        <w:t>Personel sanitarny jest uzbrojony i używa broni w obronie swych rannych i chorych</w:t>
      </w:r>
    </w:p>
    <w:p w14:paraId="3C68C65F" w14:textId="55AA2472" w:rsidR="00AD5169" w:rsidRDefault="00AD5169" w:rsidP="00AD5169">
      <w:pPr>
        <w:pStyle w:val="Akapitzlist"/>
        <w:numPr>
          <w:ilvl w:val="2"/>
          <w:numId w:val="5"/>
        </w:numPr>
      </w:pPr>
      <w:r>
        <w:t xml:space="preserve">W wypadku braku uzbrojonych sanitariuszy – zakładu lub formacji strzeże pikieta, warta lub konwój </w:t>
      </w:r>
    </w:p>
    <w:p w14:paraId="25DC1546" w14:textId="4187FB0D" w:rsidR="00AD5169" w:rsidRDefault="00AD5169" w:rsidP="00AD5169">
      <w:pPr>
        <w:pStyle w:val="Akapitzlist"/>
        <w:numPr>
          <w:ilvl w:val="2"/>
          <w:numId w:val="5"/>
        </w:numPr>
      </w:pPr>
      <w:r>
        <w:t>W formacji lub zakładzie znajduje się broń ręczna i amunicja odebrana chorym a nie oddana jeszcze właściwej władzy</w:t>
      </w:r>
    </w:p>
    <w:p w14:paraId="3F958CB5" w14:textId="3907595C" w:rsidR="00AD5169" w:rsidRDefault="00AD5169" w:rsidP="00AD5169">
      <w:pPr>
        <w:pStyle w:val="Akapitzlist"/>
        <w:numPr>
          <w:ilvl w:val="2"/>
          <w:numId w:val="5"/>
        </w:numPr>
      </w:pPr>
      <w:r>
        <w:t xml:space="preserve">Formacje i zakłady albo ich personel rozciągają swą działalność na rannych i chorych cywilnych </w:t>
      </w:r>
    </w:p>
    <w:p w14:paraId="034A6A30" w14:textId="58EC0024" w:rsidR="00AD5169" w:rsidRDefault="00AD5169" w:rsidP="00AD5169">
      <w:pPr>
        <w:pStyle w:val="Akapitzlist"/>
        <w:numPr>
          <w:ilvl w:val="0"/>
          <w:numId w:val="5"/>
        </w:numPr>
      </w:pPr>
      <w:r>
        <w:t xml:space="preserve">Pielęgniarka a ludzie szanowanie wartości, obyczajów i wierzeń religijnych </w:t>
      </w:r>
    </w:p>
    <w:p w14:paraId="32A136EF" w14:textId="3B3F3C20" w:rsidR="00AD5169" w:rsidRDefault="00AD5169" w:rsidP="00AD5169">
      <w:pPr>
        <w:pStyle w:val="Akapitzlist"/>
        <w:numPr>
          <w:ilvl w:val="1"/>
          <w:numId w:val="5"/>
        </w:numPr>
      </w:pPr>
      <w:r>
        <w:t>Od pielęgniarek oczekuje się tworzenia środowiska, w którym szanowane będą wartości, obyczaje i wierzenia religijne pacjenta</w:t>
      </w:r>
    </w:p>
    <w:p w14:paraId="08BAFF9A" w14:textId="11EA8ACC" w:rsidR="00AD5169" w:rsidRDefault="00AD5169" w:rsidP="00AD5169">
      <w:pPr>
        <w:pStyle w:val="Akapitzlist"/>
        <w:numPr>
          <w:ilvl w:val="1"/>
          <w:numId w:val="5"/>
        </w:numPr>
      </w:pPr>
      <w:r>
        <w:t xml:space="preserve">Transfuzja krwi u świadka Jehowy </w:t>
      </w:r>
    </w:p>
    <w:p w14:paraId="4C73C890" w14:textId="5342D416" w:rsidR="007D330B" w:rsidRDefault="007D330B" w:rsidP="007D330B">
      <w:pPr>
        <w:pStyle w:val="Akapitzlist"/>
        <w:numPr>
          <w:ilvl w:val="2"/>
          <w:numId w:val="5"/>
        </w:numPr>
      </w:pPr>
      <w:r>
        <w:t xml:space="preserve">W przypadku osób małoletnich przepis art. 34 ust 6 </w:t>
      </w:r>
      <w:proofErr w:type="spellStart"/>
      <w:r>
        <w:t>u.z.I</w:t>
      </w:r>
      <w:proofErr w:type="spellEnd"/>
      <w:r>
        <w:t xml:space="preserve">. stanowi, iż jeżeli przedstawiciel ustawowy nie zgadza się na zastosowanie przez lekarza metody leczenia stwarzającej podwyższone ryzyko (w tym przetaczanie krwi), wówczas lekarz może zastosować taką metodę po uzyskaniu zgody sądu opiekuńczego. Podjęta przez lekarza metoda musi być niezbędna do usunięcia niebezpieczeństwa utraty przez pacjenta życia lub ciężkiego rozstroju zdrowia. Lekarz jest zobligowany udowodnić, że transfuzja w danym przypadku stanowi jedynie skuteczną metodę, a leczenie bez krwi nie wystarczy i nie da pożądanego rezultatu </w:t>
      </w:r>
    </w:p>
    <w:p w14:paraId="374844C4" w14:textId="370B3C49" w:rsidR="007D330B" w:rsidRDefault="007D330B" w:rsidP="007D330B">
      <w:pPr>
        <w:pStyle w:val="Akapitzlist"/>
        <w:numPr>
          <w:ilvl w:val="0"/>
          <w:numId w:val="5"/>
        </w:numPr>
      </w:pPr>
      <w:r>
        <w:t xml:space="preserve">Pielęgniarka a ochrona praw człowieka i ludzkiej godności </w:t>
      </w:r>
      <w:r>
        <w:tab/>
      </w:r>
    </w:p>
    <w:p w14:paraId="417FFD1A" w14:textId="41CFCD29" w:rsidR="007D330B" w:rsidRDefault="007D330B" w:rsidP="007D330B">
      <w:pPr>
        <w:pStyle w:val="Akapitzlist"/>
        <w:numPr>
          <w:ilvl w:val="1"/>
          <w:numId w:val="5"/>
        </w:numPr>
      </w:pPr>
      <w:r>
        <w:t>Konflikty zbrojne pojawiają się w wielu krajach, powodując przewroty polityczne, anarchię, głód i znęcanie się nad ludźmi. Z przyczyn politycznych lub kryminalnych ludzie są więzieni co niesie potencjalne zagrożenie ich praw. Tortury definiowane są jako systematyczne i umyślne zadawanie silnego bólu w dowolny sposób przez jedną osobę drugiej albo trzeciej po to, by pierwsza osoba wbrew woli drugiej osiągnęła swój cel</w:t>
      </w:r>
    </w:p>
    <w:p w14:paraId="4ECDDBBE" w14:textId="017E2F1D" w:rsidR="007D330B" w:rsidRDefault="007D330B" w:rsidP="007D330B">
      <w:pPr>
        <w:pStyle w:val="Akapitzlist"/>
        <w:numPr>
          <w:ilvl w:val="1"/>
          <w:numId w:val="5"/>
        </w:numPr>
      </w:pPr>
      <w:r>
        <w:t xml:space="preserve">Jeśli pielęgniarka spotyka więźnia, który był prześladowany lub torturowany i który potrzebuje opieki pielęgniarskiej jest zobowiązana udzielić my opieki wg najlepszych możliwości, powinna także bez strachu udzielić mu opieki wg najlepszych możliwości, powinna także bez strachu przez możliwością ukarania poinformować odpowiednie władze krajowe lub międzynarodowe. Tortury wobec pacjenta występują np. wtedy gdy </w:t>
      </w:r>
      <w:r>
        <w:lastRenderedPageBreak/>
        <w:t xml:space="preserve">pracownik służby zdrowia stosuje przemoc wobec chorego z innych powodów niż terapeutyczne </w:t>
      </w:r>
    </w:p>
    <w:p w14:paraId="5F53762C" w14:textId="4987AEF4" w:rsidR="007D330B" w:rsidRDefault="007D330B" w:rsidP="007D330B">
      <w:pPr>
        <w:pStyle w:val="Akapitzlist"/>
        <w:numPr>
          <w:ilvl w:val="0"/>
          <w:numId w:val="5"/>
        </w:numPr>
      </w:pPr>
      <w:r>
        <w:t xml:space="preserve">Pielęgniarka a praktyka zawodowa </w:t>
      </w:r>
    </w:p>
    <w:p w14:paraId="58818240" w14:textId="0B89C690" w:rsidR="001F1A7A" w:rsidRDefault="001F1A7A" w:rsidP="001F1A7A">
      <w:pPr>
        <w:pStyle w:val="Akapitzlist"/>
        <w:numPr>
          <w:ilvl w:val="1"/>
          <w:numId w:val="5"/>
        </w:numPr>
      </w:pPr>
      <w:r>
        <w:t xml:space="preserve">Pojęcia etyczne: adwokatura, rozliczalność, troskliwość i współpraca są podstawami moralnymi praktyki zawodowej pielęgniarki. Pielęgniarki opiekują się pacjentami zgodnie z ich potrzebami bez względu na status społeczny, ekonomiczny lub jakieś zalety osobiste. A co w sytuacji gdy ze względu na zbyt dużą liczbę pacjentów pozostających pod ich opieką lub ze względu na konieczność ponoszenia odpowiedzialności za takie korzystanie z systemu opieki zdrowotnej które nie zwiększa jego obciążeń finansowych. Z jednej strony musi wykonywać zawód bez zaniżania standardów i zgodnie z kredytem zaufania udzielanym przez społeczeństwo a z drugiej strony poddana jest ograniczeniom w zakresie zasobów ludzkich i finansowych. W takiej sytuacji wyważyć musi pomiędzy dobrem pacjenta a dobrem społecznym </w:t>
      </w:r>
    </w:p>
    <w:p w14:paraId="1077560C" w14:textId="7D3477F1" w:rsidR="001F1A7A" w:rsidRDefault="001F1A7A" w:rsidP="001F1A7A">
      <w:pPr>
        <w:pStyle w:val="Akapitzlist"/>
        <w:numPr>
          <w:ilvl w:val="1"/>
          <w:numId w:val="5"/>
        </w:numPr>
      </w:pPr>
      <w:r>
        <w:t xml:space="preserve">W sytuacji ograniczonych zasobów ludzkich może wybrać opiekowanie się tymi pacjentami, którzy najwięcej skorzystają z jej umiejętności. Takie kryterium u różnych osób prowadzić może do różnych wniosków np. czy większym dobrem będzie podtrzymywanie życia czy możliwość powrotu do produktywnego życia </w:t>
      </w:r>
    </w:p>
    <w:p w14:paraId="1B7AFD58" w14:textId="5D48BE9E" w:rsidR="001F1A7A" w:rsidRDefault="001F1A7A" w:rsidP="001F1A7A">
      <w:pPr>
        <w:pStyle w:val="Akapitzlist"/>
        <w:numPr>
          <w:ilvl w:val="1"/>
          <w:numId w:val="5"/>
        </w:numPr>
      </w:pPr>
      <w:r>
        <w:t xml:space="preserve">Na dobre wykonywanie praktyki zawodowej składa się szereg elementów. Jednymi z nich są wiedza w sensie przygotowania zawodowego a drugi doświadczenie. Co w sytuacji gdy powierzone zostaje nam zadanie któremu w naszej opinii nie potrafimy sprostać z jednego lub drugiego powodu. A co jeśli obserwujemy brak koniecznych kompetencji u któregoś ze współpracowników </w:t>
      </w:r>
    </w:p>
    <w:p w14:paraId="177D7233" w14:textId="46E89758" w:rsidR="001F1A7A" w:rsidRDefault="001F1A7A" w:rsidP="001F1A7A">
      <w:pPr>
        <w:pStyle w:val="Akapitzlist"/>
        <w:numPr>
          <w:ilvl w:val="1"/>
          <w:numId w:val="5"/>
        </w:numPr>
      </w:pPr>
      <w:r>
        <w:t xml:space="preserve">Zasada troskliwości o bezpieczeństwo i dobro pacjenta zakazuje podejmowania zadań którym nie jesteśmy w stanie sprostać i zgłoszenie tego swojemu zwierzchnikowi </w:t>
      </w:r>
    </w:p>
    <w:p w14:paraId="5C16C1A2" w14:textId="099C44B6" w:rsidR="001F1A7A" w:rsidRDefault="001F1A7A" w:rsidP="001F1A7A">
      <w:pPr>
        <w:pStyle w:val="Akapitzlist"/>
        <w:numPr>
          <w:ilvl w:val="0"/>
          <w:numId w:val="5"/>
        </w:numPr>
      </w:pPr>
      <w:r>
        <w:t>Pielęgniarki a zawód</w:t>
      </w:r>
    </w:p>
    <w:p w14:paraId="0EB24451" w14:textId="782CA94F" w:rsidR="001F1A7A" w:rsidRDefault="001F1A7A" w:rsidP="001F1A7A">
      <w:pPr>
        <w:pStyle w:val="Akapitzlist"/>
        <w:numPr>
          <w:ilvl w:val="1"/>
          <w:numId w:val="5"/>
        </w:numPr>
      </w:pPr>
      <w:r>
        <w:t xml:space="preserve">Do zawodu powinny być dopuszczane jedynie pielęgniarki które posiadają wiedzę umiejętności i zaangażowanie etyczne. Od pielęgniarki praktyka wymaga się ciągłego uczenia w czasie pracy zawodowej oraz dzielenie się wiedzą i doświadczeniem z koleżankami i kolegami. Pielęgniarka może być nauczyciele,, podejmować badania naukowe oraz praktykiem który testuje teoretyczne modele w praktyce. Pielęgniarki obowiązane są również do  współpracy z organizacjami zawodowymi. </w:t>
      </w:r>
      <w:r w:rsidR="00EF1299">
        <w:t>Jeśli</w:t>
      </w:r>
      <w:r>
        <w:t xml:space="preserve"> w danym kraju organizacje zawodowe nie są uprawnione do podejmowania działań w celu poprawy </w:t>
      </w:r>
      <w:r w:rsidR="00EF1299">
        <w:t xml:space="preserve">sytuacji ekonomicznej pielęgniarka może uczestniczyć w działaniach związków zawodowych, brać udział w demonstracjach. Niektórzy uważają że strajk pielęgniarek jest nieetyczny. Jednak jeśli została zapewniona na </w:t>
      </w:r>
      <w:r w:rsidR="00EF1299">
        <w:lastRenderedPageBreak/>
        <w:t xml:space="preserve">opieka nad pacjentami pielęgniarki winny wskazywać społeczeństwu na relację pomiędzy sytuacją ekonomiczną  pielęgniarek a standardami opieki. Zła sytuacja ekonomiczna wpływa na braki kadrowe, zmęczenie i stres. Wszystkie te czynniki powodują gorszą jakość opieki sprawowanej przez pielęgniarki. </w:t>
      </w:r>
    </w:p>
    <w:p w14:paraId="0AD24112" w14:textId="62EA15E2" w:rsidR="00EF1299" w:rsidRDefault="00EF1299" w:rsidP="00EF1299">
      <w:pPr>
        <w:pStyle w:val="Akapitzlist"/>
        <w:numPr>
          <w:ilvl w:val="0"/>
          <w:numId w:val="5"/>
        </w:numPr>
      </w:pPr>
      <w:r>
        <w:t xml:space="preserve">Pielęgniarki a ich współpracownicy </w:t>
      </w:r>
    </w:p>
    <w:sectPr w:rsidR="00EF12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CE">
    <w:panose1 w:val="02020603050405020304"/>
    <w:charset w:val="EE"/>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2109F"/>
    <w:multiLevelType w:val="hybridMultilevel"/>
    <w:tmpl w:val="26389B1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8D6175"/>
    <w:multiLevelType w:val="hybridMultilevel"/>
    <w:tmpl w:val="E618A7A2"/>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E651662"/>
    <w:multiLevelType w:val="hybridMultilevel"/>
    <w:tmpl w:val="26389B1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7B516A"/>
    <w:multiLevelType w:val="hybridMultilevel"/>
    <w:tmpl w:val="26389B12"/>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F5A7F94"/>
    <w:multiLevelType w:val="hybridMultilevel"/>
    <w:tmpl w:val="55786668"/>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897643">
    <w:abstractNumId w:val="1"/>
  </w:num>
  <w:num w:numId="2" w16cid:durableId="1060205496">
    <w:abstractNumId w:val="3"/>
  </w:num>
  <w:num w:numId="3" w16cid:durableId="2024239983">
    <w:abstractNumId w:val="4"/>
  </w:num>
  <w:num w:numId="4" w16cid:durableId="1537815987">
    <w:abstractNumId w:val="0"/>
  </w:num>
  <w:num w:numId="5" w16cid:durableId="1483692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B5"/>
    <w:rsid w:val="00035B81"/>
    <w:rsid w:val="00131E33"/>
    <w:rsid w:val="001D49C8"/>
    <w:rsid w:val="001F1A7A"/>
    <w:rsid w:val="002C1DA8"/>
    <w:rsid w:val="002E030B"/>
    <w:rsid w:val="00303158"/>
    <w:rsid w:val="004E069A"/>
    <w:rsid w:val="005D363C"/>
    <w:rsid w:val="007D330B"/>
    <w:rsid w:val="007E3A2F"/>
    <w:rsid w:val="007F4729"/>
    <w:rsid w:val="009E6713"/>
    <w:rsid w:val="00A5564D"/>
    <w:rsid w:val="00AD5169"/>
    <w:rsid w:val="00B103DE"/>
    <w:rsid w:val="00C06636"/>
    <w:rsid w:val="00C15F5F"/>
    <w:rsid w:val="00C93DF9"/>
    <w:rsid w:val="00CF18B4"/>
    <w:rsid w:val="00E922B5"/>
    <w:rsid w:val="00EF12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26E0"/>
  <w15:chartTrackingRefBased/>
  <w15:docId w15:val="{26CE334C-9305-4CF1-91AF-580290BF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92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2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22B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22B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22B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22B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22B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22B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22B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22B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22B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22B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22B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22B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22B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22B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22B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22B5"/>
    <w:rPr>
      <w:rFonts w:eastAsiaTheme="majorEastAsia" w:cstheme="majorBidi"/>
      <w:color w:val="272727" w:themeColor="text1" w:themeTint="D8"/>
    </w:rPr>
  </w:style>
  <w:style w:type="paragraph" w:styleId="Tytu">
    <w:name w:val="Title"/>
    <w:basedOn w:val="Normalny"/>
    <w:next w:val="Normalny"/>
    <w:link w:val="TytuZnak"/>
    <w:uiPriority w:val="10"/>
    <w:qFormat/>
    <w:rsid w:val="00E92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22B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22B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22B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22B5"/>
    <w:pPr>
      <w:spacing w:before="160"/>
      <w:jc w:val="center"/>
    </w:pPr>
    <w:rPr>
      <w:i/>
      <w:iCs/>
      <w:color w:val="404040" w:themeColor="text1" w:themeTint="BF"/>
    </w:rPr>
  </w:style>
  <w:style w:type="character" w:customStyle="1" w:styleId="CytatZnak">
    <w:name w:val="Cytat Znak"/>
    <w:basedOn w:val="Domylnaczcionkaakapitu"/>
    <w:link w:val="Cytat"/>
    <w:uiPriority w:val="29"/>
    <w:rsid w:val="00E922B5"/>
    <w:rPr>
      <w:i/>
      <w:iCs/>
      <w:color w:val="404040" w:themeColor="text1" w:themeTint="BF"/>
    </w:rPr>
  </w:style>
  <w:style w:type="paragraph" w:styleId="Akapitzlist">
    <w:name w:val="List Paragraph"/>
    <w:basedOn w:val="Normalny"/>
    <w:uiPriority w:val="34"/>
    <w:qFormat/>
    <w:rsid w:val="00E922B5"/>
    <w:pPr>
      <w:ind w:left="720"/>
      <w:contextualSpacing/>
    </w:pPr>
  </w:style>
  <w:style w:type="character" w:styleId="Wyrnienieintensywne">
    <w:name w:val="Intense Emphasis"/>
    <w:basedOn w:val="Domylnaczcionkaakapitu"/>
    <w:uiPriority w:val="21"/>
    <w:qFormat/>
    <w:rsid w:val="00E922B5"/>
    <w:rPr>
      <w:i/>
      <w:iCs/>
      <w:color w:val="0F4761" w:themeColor="accent1" w:themeShade="BF"/>
    </w:rPr>
  </w:style>
  <w:style w:type="paragraph" w:styleId="Cytatintensywny">
    <w:name w:val="Intense Quote"/>
    <w:basedOn w:val="Normalny"/>
    <w:next w:val="Normalny"/>
    <w:link w:val="CytatintensywnyZnak"/>
    <w:uiPriority w:val="30"/>
    <w:qFormat/>
    <w:rsid w:val="00E92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22B5"/>
    <w:rPr>
      <w:i/>
      <w:iCs/>
      <w:color w:val="0F4761" w:themeColor="accent1" w:themeShade="BF"/>
    </w:rPr>
  </w:style>
  <w:style w:type="character" w:styleId="Odwoanieintensywne">
    <w:name w:val="Intense Reference"/>
    <w:basedOn w:val="Domylnaczcionkaakapitu"/>
    <w:uiPriority w:val="32"/>
    <w:qFormat/>
    <w:rsid w:val="00E922B5"/>
    <w:rPr>
      <w:b/>
      <w:bCs/>
      <w:smallCaps/>
      <w:color w:val="0F4761" w:themeColor="accent1" w:themeShade="BF"/>
      <w:spacing w:val="5"/>
    </w:rPr>
  </w:style>
  <w:style w:type="paragraph" w:styleId="NormalnyWeb">
    <w:name w:val="Normal (Web)"/>
    <w:basedOn w:val="Normalny"/>
    <w:uiPriority w:val="99"/>
    <w:semiHidden/>
    <w:unhideWhenUsed/>
    <w:rsid w:val="00AD5169"/>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Hipercze">
    <w:name w:val="Hyperlink"/>
    <w:basedOn w:val="Domylnaczcionkaakapitu"/>
    <w:uiPriority w:val="99"/>
    <w:unhideWhenUsed/>
    <w:rsid w:val="00AD5169"/>
    <w:rPr>
      <w:color w:val="467886" w:themeColor="hyperlink"/>
      <w:u w:val="single"/>
    </w:rPr>
  </w:style>
  <w:style w:type="character" w:styleId="Nierozpoznanawzmianka">
    <w:name w:val="Unresolved Mention"/>
    <w:basedOn w:val="Domylnaczcionkaakapitu"/>
    <w:uiPriority w:val="99"/>
    <w:semiHidden/>
    <w:unhideWhenUsed/>
    <w:rsid w:val="00AD5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1260</TotalTime>
  <Pages>11</Pages>
  <Words>3290</Words>
  <Characters>19745</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Heród</dc:creator>
  <cp:keywords/>
  <dc:description/>
  <cp:lastModifiedBy>Kinga__ Kinga__</cp:lastModifiedBy>
  <cp:revision>1</cp:revision>
  <dcterms:created xsi:type="dcterms:W3CDTF">2025-10-22T10:26:00Z</dcterms:created>
  <dcterms:modified xsi:type="dcterms:W3CDTF">2025-10-23T08:31:00Z</dcterms:modified>
</cp:coreProperties>
</file>