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Biochemia – węglowodany – budowa i metabolizm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Ćwiczenia 1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Chemiczna budowa organizmów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3621259" cy="2149125"/>
            <wp:effectExtent b="0" l="0" r="0" t="0"/>
            <wp:docPr id="212915297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1259" cy="214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 chemiczny % - zawartość wody w organizmie </w:t>
      </w:r>
    </w:p>
    <w:tbl>
      <w:tblPr>
        <w:tblStyle w:val="Table1"/>
        <w:tblW w:w="7622.0" w:type="dxa"/>
        <w:jc w:val="left"/>
        <w:tblInd w:w="14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6"/>
        <w:gridCol w:w="2473"/>
        <w:gridCol w:w="2473"/>
        <w:tblGridChange w:id="0">
          <w:tblGrid>
            <w:gridCol w:w="2676"/>
            <w:gridCol w:w="2473"/>
            <w:gridCol w:w="24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Wiek – lata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Mężczyzna 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Kobieta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Niemowlę 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65%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1-9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62%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10-16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59%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17-39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61%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40-59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55%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60+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52%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46%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181150" cy="1733993"/>
            <wp:effectExtent b="0" l="0" r="0" t="0"/>
            <wp:docPr id="212915297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150" cy="17339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Pierwiastki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000625" cy="2085658"/>
            <wp:effectExtent b="0" l="0" r="0" t="0"/>
            <wp:docPr id="212915297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0856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Składniki mineralne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Makroelementy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Zapotrzebowanie przekracza 100 mg/osobę/dzień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Ca, P, Mg, K, S, Na, Cl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Mikroelementy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Zapotrzebowanie poniżej 100 mg/osobę/dzień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Fe, Zn, Cu, Mn, F, J, Se, Cr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pierwiastki, które pozostają po spaleniu tkanek w postaci popiołu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Stanowią 4% masy ciała dorosłego człowieka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Biodostępność: pierwiastki jednowartościowe np. Na, K, Cl, J, F (zwykle w postaci soli) łatwo się wchłaniają wydalają. Pozostałe lepiej przyswajalne z pokarmów pochodzenia zwierzęcego w formie organicznej (Fe z Hb i mioglobiny; P jako kazeina i fosfolipidy; S jako aminokwasy siarkowe)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Węglowodany – funkcje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Substraty energetyczne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Wytwarzanie substancji strukturalnych i biologicznie czynnych (kwasy nukleinowe, mukopolisacharydy)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łaknienia (glikogen, glukoza)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Regulacja procesów przebiegających w jelitach (błonnik)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366969" cy="1090191"/>
            <wp:effectExtent b="0" l="0" r="0" t="0"/>
            <wp:docPr id="212915297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6969" cy="10901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Glikolipidy – markery komórkowe niektórych specyficznych komórek (rozpoznawane przez białka komplementarne lub węglowodany pochodzące z innej komórki)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Asymetryczność błony komórkowej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Stabilizują błonę komórkową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 receptorami dla niektórych hormonów peptydowych i toksyn bakteryjnych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Określają grupy krwi (AB0)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razie konieczności służą one również jako źródło energii komórki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Podział węglowodanów (cukry, sacharydy) (CH2O)n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Monosacharydy n=1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Oligosacharydy n= 2-10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Disacharydy n=2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Polisacharydy n&gt;10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– liczba cząsteczek monosacharydów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Inny podział węglowodanów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Przyswajalne (cukry proste, skrobia, glikogen, sacharoza, maltoza, laktoza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Błonnik pokarmowy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Błonnik rozpuszczalny (częściowo przyswajalne)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stachioza, rafinoza, pektyny, hemicelulozy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Błonnik nierozpuszczalny – nie poddają się działaniu enzymów trawiennych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celuloza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Skrobia oporna – nie poddają się działaniu enzymów trawiennych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Monosacharydy </w:t>
        <w:tab/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C3  aldehyd fosfoglicerynowy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C4 erytroza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C5 ryboza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C5 ksyloza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C5 arabinoza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C6 glukoza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C6 fruktoza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C6 galaktoza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C6 mannoza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C7 sptoza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N=3-7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Monosacharydy – nomenklatura </w:t>
        <w:tab/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Monosacharydy zawierające w swej cząsteczce grupę: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aldehydową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-aldozy,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ketonową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-ketozy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Nazwę monosacharydu tworzy się dodając do greckiego liczebnika odpowiadającego ilości atomów węgla końcówkę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oza-dla aldoz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uloza-dla ketoz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347977" cy="960613"/>
            <wp:effectExtent b="0" l="0" r="0" t="0"/>
            <wp:docPr id="212915297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7977" cy="960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Grupa aldehydowa –jednowartościowa grupa funkcyjna o wzorze −CHO, zbudowana z grupy karbonylowej, której atom węgla jest bezpośrednio związany z atomem wodoru. Grupa ta jest charakterystyczną grupą aldehydów i aldoz.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Aldozy – przykłady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Triozy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Aldehyd glicerynowy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Tetrozy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Erytroza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Treoza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Pentozy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Ryboza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Deoksyryboza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Heksozy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Galaktoza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Glukoza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Ketozy – przykłady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Triozy (ketotriozy)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Dihydroksyaceton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Tetrozy (ketotetrozy)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Erytruloza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Pentozy (kotepentozy)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Rybuloza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Ksyluloza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Heksozy (ketoheksozy)</w:t>
        <w:tab/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Psikoza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Fruktoza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Sorboza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Tagatoza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Izomeria monosacharydów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Izomeria – istnienie różnic w budowie cząsteczek o takim samym składzie atomowym  - różnią się położeniem grupy OH w pozycji c4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– glukoza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– galaktoza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Enancjomeria – forma izomerii polegająca na występowaniu pewnych związków w dwóch postaciach, z których jedna jest zwierciadlanym odbiciem drugiej (formy D częste i L – rzadkie)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Wzorcem konfiguracyjnym cukrów jest aldehyd glicerynowy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Wszystkie cukry, występujące naturalnie w przyrodzie, są cukrami, które należą do szeregu D-monosacharydów. Aby przyporządkować cząsteczce cukru odpowiednią konfigurację D lub L, należy określić konfigurację absolutną przy ostatnim asymetrycznym atomie w cząsteczce cukru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Ostatni asymetryczny atom węgla w cząsteczce cukru to tzw. Atom odniesienia, względem którego określa się konfigurację całej cząsteczki cukru. Jeżeli podstawnik, grupa, jest po stronie prawej, to mamy izomer D, jeżeli po lewej – izomer L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3542" cy="1083502"/>
            <wp:effectExtent b="0" l="0" r="0" t="0"/>
            <wp:docPr id="212915298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3542" cy="10835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06490" cy="1428225"/>
            <wp:effectExtent b="0" l="0" r="0" t="0"/>
            <wp:docPr id="212915298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6490" cy="1428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Asymetryczny atom – atom pierwiastka wielowartościowego związany w cząsteczce związku chemicznego z różnymi podstawnikami; najczęściej jest to atom węgla w cząsteczce związku organicznego, ale także atom azotu, arsenu, fosforu, siarki, krzemu; w jednej cząsteczce może być kilka asymetrycznych atomów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Różnią się położeniem podstawników przy węglach asymetrycznych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Jeżeli związek dla się przekształcić do jednego z izomerów aldehydu glicerynowego, to związek ten zaliczamy do szeregu konfiguracyjnego D lub L, w zależności od tego, do którego izomeru przekształcił się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852522" cy="861082"/>
            <wp:effectExtent b="0" l="0" r="0" t="0"/>
            <wp:docPr id="212915298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2522" cy="8610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Sposób rysowania wzorów taflowych Hawortha na podstawie wzorów Fishera przedstawia poniższy schemat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258038" cy="1948713"/>
            <wp:effectExtent b="0" l="0" r="0" t="0"/>
            <wp:docPr id="212915298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8038" cy="1948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Przejście D-glukozy z projekcji Fischera do projekcji Hawortha. Gdy przechodzi się od projekcji Fischera do projekcji Hawortha, należy cząsteczkę cukru obrócić na bok (etap 1 i 2), a następnie ułożyć tak, aby pierwszy atom węgla był w prawym górnym rogu (etap 3). Pozostałe atomy węgla numeruje się od C1, zgodnie z ruchem wskazówek zegara, natomiast należące do nich 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podstawniki umieszcza się pod płaszczyzną pierścienia –jeśli we wzorze Fischera były po prawej stronie –lub nad płaszczyzną pierścienia –jeśli we wzorze Fischera były po lewej stronie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Gdy grupa hydroksylowa jest na dole, glukoza znajduje się w formie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alfa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(α), a kiedy jest na górze, glukoza występuje w formie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beta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Disacharydy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Sacharoza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Maltoza i izomaltoza – produkty hydrolizy skrobi pokarmowej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621624" cy="739552"/>
            <wp:effectExtent b="0" l="0" r="0" t="0"/>
            <wp:docPr id="212915298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624" cy="7395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wiązanie ß-1,4 –glikozydowe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Polisacharydy – skrobia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Próba jodowa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Zabarwienie skrobi pod wpływem jody spowodowane jest adsorpcją jodu na cząsteczce polisacharydu. Adsorpcja ma charakter kanałowy, tzn. cząsteczki jodu wchodzą do kanału utworzonego przez spiralnie skręcone łańcuchy skrobi. Cząsteczki jodu w obrębie spirali skrobi tworzą prosty łańcuch, wzdłuż którego mogą przemieszczać się elektrony, co powoduje pochłanianie światła przez cały kompleks.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Barwa zależy od długości łańcucha. Amyloza daje zabarwienie niebieskie, amylopektyna fioletowo czerwone. W obecności zasad zabarwienie nie powstaje gdyż jod reaguje z jonem wodorotlenowym.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Trawienie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Amylodekstryny (barwiące się z I2na niebiesko)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erytrodekstryny  (barwiące się z I2na czerwono)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achrodekstryny  (niebarwiące się z I2)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470275" cy="935355"/>
            <wp:effectExtent b="0" l="0" r="0" t="0"/>
            <wp:docPr id="21291529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935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Trawienie cukrów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Ślina -αamylaza ślinowa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Sok trzustkowy–αamylaza trzustkowa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Część jelitowa i na powierzchni rąbka prążkowanego enterocytów (maltaza, sacharaza, laktaza)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560.0" w:type="dxa"/>
        <w:jc w:val="left"/>
        <w:tblInd w:w="14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7"/>
        <w:gridCol w:w="2427"/>
        <w:gridCol w:w="2446"/>
        <w:tblGridChange w:id="0">
          <w:tblGrid>
            <w:gridCol w:w="2687"/>
            <w:gridCol w:w="2427"/>
            <w:gridCol w:w="2446"/>
          </w:tblGrid>
        </w:tblGridChange>
      </w:tblGrid>
      <w:tr>
        <w:trPr>
          <w:cantSplit w:val="0"/>
          <w:trHeight w:val="88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Enzym 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Substrat 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Sposób działania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Alfa amylaza ślinowa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Skrobia, glikogen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Atakuje wiązania alfa 1,4 glikozydowe od wewnątrz łańcucha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Alfa amylaza trzustkowa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Skrobia, glikogen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Atakuje wiązania alfa 1,4 glikozydowe od zewnątrz łańcucha</w:t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Glukozydaza amylopektynowa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Skrobia, dekstryny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Atakuje wiązania alfa 1,6 glikozydowe wielocukrów</w:t>
            </w:r>
          </w:p>
        </w:tc>
      </w:tr>
      <w:tr>
        <w:trPr>
          <w:cantSplit w:val="0"/>
          <w:trHeight w:val="177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Oligo 1,6- glukozydaza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Oligosacharydy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Odczepia boczne łańcuchy glukozowe</w:t>
            </w:r>
          </w:p>
        </w:tc>
      </w:tr>
      <w:tr>
        <w:trPr>
          <w:cantSplit w:val="0"/>
          <w:trHeight w:val="173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Sacharaza 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Sacharoza 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Rozkłada na glukozę i fruktozę </w:t>
            </w:r>
          </w:p>
        </w:tc>
      </w:tr>
      <w:tr>
        <w:trPr>
          <w:cantSplit w:val="0"/>
          <w:trHeight w:val="177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Maltaza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Maltoza </w:t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Rozkłada na 2 cząsteczki glukozy</w:t>
            </w:r>
          </w:p>
        </w:tc>
      </w:tr>
      <w:tr>
        <w:trPr>
          <w:cantSplit w:val="0"/>
          <w:trHeight w:val="177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Laktaza 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Laktoza 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Rozkłada na glukozę i galaktozę </w:t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Skrobia oporna (SO)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Zaliczana do błonnika pokarmowego, nie ma zdolności kleikowania, nie poddaje się działaniu enzymów trawiennych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RS1 – fizycznie niedostępna; skrobia zawarta w nieuszkodzonych komórkach roślinnych np. całych ziarnach zbóż. Jest nietrawiona w przewodzie pokarmowym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RS2 – ziarna skrobi surowej (nieskleikowanej) występujące w niektórych roślinach np. surowych ziemniakach, niedojrzałych bananach, nasionach roślin strączkowych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RS3 – skrobia zretrogradowana, która powstaje w produktach spożywczych poddanych obróbce cieplnej, a następnie schłodzonych. RS3 znajduje się w schłodzonych ziemniakach, ryżu, makaronie, płatkach zbożowych i czerstwym pieczywie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RS4 – skrobia zmodyfikowana chemicznie lub fizycznie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Skrobia oporna (SO) występuje naturalnie w niektórych produktach spożywczych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Nasiona strączkowe, głównie fasola (8gw połowie szklanki)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Zielone banany (6g na owoc)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Otręby pszenne (do 5g w połowie szklanki)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Schłodzone ziemniaki (4g w połowie szklanki)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Schłodzony brązowy ryż (3g w połowie szklanki)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Kukurydza (2g w połowie szklanki)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Chleb razowy (1-2g w 3 kromkach)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Zalecana dawka dziennego spożycia SO wynosi co najmniej 20 g dziennie, nie powinna jednak przekraczać 60 g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Glikogen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Zbudowany podobnie do amylopektyny, ale bardziej rozgałęziony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Zapasowy materiał energetyczny (mięśnie; 400g, wątroba; 100g)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Cukry redukujące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Zawierają zawsze wolne grupy aldehydowe lub ketonowe i należą do nich wszystkie cukry proste oraz oligosacharydy, które posiadają wolną grupę aldehydową lub ketonową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Właściwości oksydoredukcyjne cukrów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Należą do nich wszystkie monosacharydy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Glukoza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Fruktoza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Galaktoza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Ryboza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Arabinoza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Ksyloza 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Oraz niektóre Disacharydy z wyjątkiem sacharozy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Laktoza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Maltoza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Amyloza i sacharoza to przykłady cukrów nieredukujących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Redukcja grupy aldehydowej lub ketonowej zamienia ją w grupę alkoholową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Glukoza i fruktoza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sorbitol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Mannoza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mannitol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Galaktoza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galaktytol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Redukcja grupy -OH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deoksycukry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Cukry redukujące reagują pozytywnie z odczynnikiem Fehlinga, Benedicta i Tollensa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Cukry takie podczas ogrzewania w środowisku zasadowym tworzą silnie redukujące produkty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Właściwości redukujące cukrów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większości prób redukcyjnych wykorzystuje się redukcję jonów miedzi (II) do jonów miedzi (I). w środowisku zasadowym cukry ulegają także izomeryzacji i degradacji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Próba Fehlinga polega na ogrzewaniu mieszaniny badanej substancji oraz ciemnoniebieskiego klarownego roztworu związku kompleksowego dwuwinianu miedzi (II). Reakcja przebiega w zasadowym środowisku. Jeżeli badany roztwór zawiera aldehyd, ulega on utlenieniu do kwasu karboksylowego, natomiast uwolnione z kompleksu jony miedzy (II) redukują się do miedzi (I) obecnej w ceglastoczerwonym tlenku miedzi (I)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Próba Benedicta – odczynnik Benedicta – ciemnoniebieski cytrynianowy kompleks miedzi (II) dodaje się do badanego roztworu i doprowadza do wrzenia. Duże stężenie cukrów redukujących lub aldehydu powoduje powstanie czerwonego osadu tlenku miedzi (I)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Próba Tollensa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Podczas pozytywnej próby Tollensa powstaje srebro metaliczne, osadzające się w postaci lustrzanej powłoki na szklanej powierzchni naczynia reakcyjnego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Odczynnik tollensa otrzymuje się, dodając wody amoniakalnej do roztworu azotanu srebra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roztworu azotanu srebra dodaje się kilka kropli stężonego wodorotlenku sodu, a następnie roztwór amoniaku. Po dodaniu np. glukozy i podgrzaniu na ściankach naczynia pojawia się srebro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Metabolizm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Całokształt reakcji chemicznych i związanych z nimi przemian energii zachodzących w żywych komórkach, stanowiący podstawę wszelkich zjawisk biologicznych.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Procesy te pozwalają komórce na wzrost i rozmnażanie, zarządzanie swoją strukturą wewnętrzną oraz odpowiadanie na bodźce zewnętrzne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Tworzone są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ATP – konieczny do procesów wymagających energii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NADH – dinukleotyd nikotynoamidoadeninowy (NADH forma zredukowana, NAD+ - forma utleniona) – przenoszący dwa elektrony o dużym potencjale, dostarcza energii redukcyjnej podczas biosyntezy składników komórkowych z prekursorów o wyższym stopniu utlenienia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Prekursory makrocząsteczek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ATP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251075" cy="1295400"/>
            <wp:effectExtent b="0" l="0" r="0" t="0"/>
            <wp:docPr id="212915298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AMP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Reakcje kataboliczne - ogół reakcji chemicznych prowadzących do rozpadu złożonych związków chemicznych na prostsze cząsteczki, przebiegające z uwolnieniem energii.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Reakcje anaboliczne - ogół reakcji chemicznych prowadzących do syntezy złożonych związków chemicznych z prostszych cząsteczek, przebiegające z wykorzystaniem energii.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Często procesy metaboliczne dzieli się na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Anaboliczne (wzrostowe)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Kataboliczne (związane z rozkładem i zanikaniem materii organicznej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Mechanizmy regulujące procesy metaboliczne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Regulacja ilości niektórych enzymów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aktywności katalitycznej niektórych enzymów (np. inhibicja na zasadzie ujemnego sprzężenia zwrotnego)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Kompartmentacja (np. utlenianie kwasów tłuszczowych przebiega w mitochondriach, a ich synteza w cytozolu)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Kontrola ładunkiem energetycznym (miara ilości wysokoenergetycznych fosforanów w komórce)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AEC =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336675" cy="297815"/>
            <wp:effectExtent b="0" l="0" r="0" t="0"/>
            <wp:docPr id="212915298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297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AEC większości komórek waha się od 0,800 do 0,950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Procesy kataboliczne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57170" cy="1882039"/>
            <wp:effectExtent b="0" l="0" r="0" t="0"/>
            <wp:docPr descr="Obraz zawierający tekst, diagram, Czcionka, linia&#10;&#10;Zawartość wygenerowana przez AI może być niepoprawna." id="2129152988" name="image13.png"/>
            <a:graphic>
              <a:graphicData uri="http://schemas.openxmlformats.org/drawingml/2006/picture">
                <pic:pic>
                  <pic:nvPicPr>
                    <pic:cNvPr descr="Obraz zawierający tekst, diagram, Czcionka, linia&#10;&#10;Zawartość wygenerowana przez AI może być niepoprawna."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7170" cy="18820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Glikoliza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796921" cy="1871268"/>
            <wp:effectExtent b="0" l="0" r="0" t="0"/>
            <wp:docPr id="212915298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6921" cy="18712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805903" cy="1877291"/>
            <wp:effectExtent b="0" l="0" r="0" t="0"/>
            <wp:docPr id="2129152990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5903" cy="18772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Zysk energetyczny 6 ATP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Losy pirogronianu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Oksydacyjna dekarboksylacja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064385" cy="1004570"/>
            <wp:effectExtent b="0" l="0" r="0" t="0"/>
            <wp:docPr id="2129152991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0045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Fermentacja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Transaminacja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Glukoneogeneza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alfa aminokwas + pirogronian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alfa ketokwas + alanina (katalizator: (AIAT) aminotransferaza alaninowa)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Cykl Krebsa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576446" cy="1967090"/>
            <wp:effectExtent b="0" l="0" r="0" t="0"/>
            <wp:docPr id="212915299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446" cy="1967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196236" cy="3533404"/>
            <wp:effectExtent b="0" l="0" r="0" t="0"/>
            <wp:docPr id="212915299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6236" cy="35334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FADH2-dinukleotyd flawinoadeninowy  NADH -dinukleotyd nikotynoamidoadeninowy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Łańcuch oddechowy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Fosforylacja oksydacyjna – synteza ATP kosztem energii wyzwalanej w czasie transportu atomów wodoru i elektronów na tlen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Mitochondrialny łańcuch transportu elektronów   Kompleks I –dehydrogenaza NADH 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Kompleks II -dehydrogenaza bursztynianowa  Kompleks III –kompleks cytochromów bc1 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Kompleks IV –oksydaza  cytochromowa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3082161" cy="1614692"/>
            <wp:effectExtent b="0" l="0" r="0" t="0"/>
            <wp:docPr id="212915299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2161" cy="16146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914699" cy="2043678"/>
            <wp:effectExtent b="0" l="0" r="0" t="0"/>
            <wp:docPr id="212915297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4699" cy="20436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Oddychanie beztlenowe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Fermentacja mlekowa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Zysk energetyczny 2 ATP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468322" cy="1701082"/>
            <wp:effectExtent b="0" l="0" r="0" t="0"/>
            <wp:docPr id="212915297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8322" cy="17010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169919" cy="1786876"/>
            <wp:effectExtent b="0" l="0" r="0" t="0"/>
            <wp:docPr id="212915297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9919" cy="17868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492463" cy="927361"/>
            <wp:effectExtent b="0" l="0" r="0" t="0"/>
            <wp:docPr id="212915297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2463" cy="9273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Porównanie oddychania tlenowego i beztlenowego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Zysk energetyczny?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Miejsce?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sectPr>
      <w:headerReference r:id="rId3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Wingding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cs="Courier New" w:eastAsia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B4639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B4639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B4639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B4639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B4639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B4639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B4639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B46397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B46397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B46397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B46397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B46397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B4639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B4639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B4639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B46397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B46397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B46397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B4639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B46397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B46397"/>
    <w:rPr>
      <w:b w:val="1"/>
      <w:bCs w:val="1"/>
      <w:smallCaps w:val="1"/>
      <w:color w:val="0f4761" w:themeColor="accent1" w:themeShade="0000BF"/>
      <w:spacing w:val="5"/>
    </w:rPr>
  </w:style>
  <w:style w:type="table" w:styleId="Tabela-Siatka">
    <w:name w:val="Table Grid"/>
    <w:basedOn w:val="Standardowy"/>
    <w:uiPriority w:val="39"/>
    <w:rsid w:val="00B463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264804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kern w:val="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22" Type="http://schemas.openxmlformats.org/officeDocument/2006/relationships/image" Target="media/image22.png"/><Relationship Id="rId21" Type="http://schemas.openxmlformats.org/officeDocument/2006/relationships/image" Target="media/image9.png"/><Relationship Id="rId24" Type="http://schemas.openxmlformats.org/officeDocument/2006/relationships/image" Target="media/image20.png"/><Relationship Id="rId23" Type="http://schemas.openxmlformats.org/officeDocument/2006/relationships/image" Target="media/image1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24.png"/><Relationship Id="rId25" Type="http://schemas.openxmlformats.org/officeDocument/2006/relationships/image" Target="media/image21.png"/><Relationship Id="rId28" Type="http://schemas.openxmlformats.org/officeDocument/2006/relationships/image" Target="media/image11.png"/><Relationship Id="rId27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7.png"/><Relationship Id="rId7" Type="http://schemas.openxmlformats.org/officeDocument/2006/relationships/image" Target="media/image19.png"/><Relationship Id="rId8" Type="http://schemas.openxmlformats.org/officeDocument/2006/relationships/image" Target="media/image8.png"/><Relationship Id="rId31" Type="http://schemas.openxmlformats.org/officeDocument/2006/relationships/header" Target="header1.xml"/><Relationship Id="rId30" Type="http://schemas.openxmlformats.org/officeDocument/2006/relationships/image" Target="media/image15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image" Target="media/image10.png"/><Relationship Id="rId15" Type="http://schemas.openxmlformats.org/officeDocument/2006/relationships/image" Target="media/image4.png"/><Relationship Id="rId14" Type="http://schemas.openxmlformats.org/officeDocument/2006/relationships/image" Target="media/image16.png"/><Relationship Id="rId17" Type="http://schemas.openxmlformats.org/officeDocument/2006/relationships/image" Target="media/image1.png"/><Relationship Id="rId16" Type="http://schemas.openxmlformats.org/officeDocument/2006/relationships/image" Target="media/image2.png"/><Relationship Id="rId19" Type="http://schemas.openxmlformats.org/officeDocument/2006/relationships/image" Target="media/image12.png"/><Relationship Id="rId18" Type="http://schemas.openxmlformats.org/officeDocument/2006/relationships/image" Target="media/image1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lbVy1RnRUnBLvpA64tBXXb9wyA==">CgMxLjA4AHIhMTFmZ2g4YkFlUU5PV25VVXpBaWFHTjJLS1J2UHA5bXRQ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2025-10-31T10:01:00Z</dcterms:created>
  <dc:creator>Kinga__ Kinga__</dc:creator>
</cp:coreProperties>
</file>